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DC18EC" w14:textId="77777777" w:rsidR="00122B82" w:rsidRDefault="00000000">
      <w:pPr>
        <w:ind w:firstLine="850"/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E3A3B0C" wp14:editId="1AF828E8">
            <wp:simplePos x="0" y="0"/>
            <wp:positionH relativeFrom="column">
              <wp:posOffset>375670</wp:posOffset>
            </wp:positionH>
            <wp:positionV relativeFrom="paragraph">
              <wp:posOffset>39385</wp:posOffset>
            </wp:positionV>
            <wp:extent cx="1565275" cy="481330"/>
            <wp:effectExtent l="0" t="0" r="0" b="0"/>
            <wp:wrapSquare wrapText="bothSides" distT="0" distB="0" distL="114300" distR="114300"/>
            <wp:docPr id="2" name="image1.png" descr="Logo featuring bold blue letters &quot;UC&quot; on a tilted rectangular background next to &quot;RIVERSIDE&quot; in uppercase blue text. Design uses clean, modern typography with slight shadow effect for emphasi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Logo featuring bold blue letters &quot;UC&quot; on a tilted rectangular background next to &quot;RIVERSIDE&quot; in uppercase blue text. Design uses clean, modern typography with slight shadow effect for emphasis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5275" cy="4813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9B5024E" w14:textId="77777777" w:rsidR="00122B82" w:rsidRDefault="00000000">
      <w:pPr>
        <w:pStyle w:val="Title"/>
      </w:pPr>
      <w:r>
        <w:t xml:space="preserve">UCR Senior Management Group </w:t>
      </w:r>
      <w:r>
        <w:br/>
        <w:t>Recruitment Enticements/Inducements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3D461530" wp14:editId="44A7A229">
                <wp:simplePos x="0" y="0"/>
                <wp:positionH relativeFrom="column">
                  <wp:posOffset>117000</wp:posOffset>
                </wp:positionH>
                <wp:positionV relativeFrom="paragraph">
                  <wp:posOffset>583291</wp:posOffset>
                </wp:positionV>
                <wp:extent cx="6948000" cy="12700"/>
                <wp:effectExtent l="0" t="0" r="0" b="0"/>
                <wp:wrapNone/>
                <wp:docPr id="1" name="Straight Arrow Connector 1" descr="Decorative Line Separa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872000" y="3780000"/>
                          <a:ext cx="694800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117000</wp:posOffset>
                </wp:positionH>
                <wp:positionV relativeFrom="paragraph">
                  <wp:posOffset>583291</wp:posOffset>
                </wp:positionV>
                <wp:extent cx="6948000" cy="12700"/>
                <wp:effectExtent b="0" l="0" r="0" t="0"/>
                <wp:wrapNone/>
                <wp:docPr descr="Decorative Line Separator" id="1" name="image2.png"/>
                <a:graphic>
                  <a:graphicData uri="http://schemas.openxmlformats.org/drawingml/2006/picture">
                    <pic:pic>
                      <pic:nvPicPr>
                        <pic:cNvPr descr="Decorative Line Separator"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480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"/>
        <w:tblW w:w="11002" w:type="dxa"/>
        <w:tblInd w:w="142" w:type="dxa"/>
        <w:tblLayout w:type="fixed"/>
        <w:tblLook w:val="0000" w:firstRow="0" w:lastRow="0" w:firstColumn="0" w:lastColumn="0" w:noHBand="0" w:noVBand="0"/>
      </w:tblPr>
      <w:tblGrid>
        <w:gridCol w:w="2889"/>
        <w:gridCol w:w="2890"/>
        <w:gridCol w:w="2611"/>
        <w:gridCol w:w="2612"/>
      </w:tblGrid>
      <w:tr w:rsidR="00122B82" w14:paraId="7D35E212" w14:textId="77777777">
        <w:trPr>
          <w:trHeight w:val="341"/>
        </w:trPr>
        <w:tc>
          <w:tcPr>
            <w:tcW w:w="2889" w:type="dxa"/>
          </w:tcPr>
          <w:p w14:paraId="60264BD1" w14:textId="77777777" w:rsidR="00122B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/>
              <w:ind w:left="111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Candidate Name: </w:t>
            </w:r>
          </w:p>
        </w:tc>
        <w:tc>
          <w:tcPr>
            <w:tcW w:w="2890" w:type="dxa"/>
          </w:tcPr>
          <w:p w14:paraId="383776D4" w14:textId="77777777" w:rsidR="00122B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/>
              <w:ind w:left="11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bookmarkStart w:id="0" w:name="tjarhkm4zqkw" w:colFirst="0" w:colLast="0"/>
            <w:bookmarkEnd w:id="0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[Insert Candidate Name]</w:t>
            </w:r>
          </w:p>
        </w:tc>
        <w:tc>
          <w:tcPr>
            <w:tcW w:w="2611" w:type="dxa"/>
          </w:tcPr>
          <w:p w14:paraId="42D67E0E" w14:textId="77777777" w:rsidR="00122B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/>
              <w:ind w:left="112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SMG Salary Grade: </w:t>
            </w:r>
            <w:bookmarkStart w:id="1" w:name="c9chvk6vnt1y" w:colFirst="0" w:colLast="0"/>
            <w:bookmarkEnd w:id="1"/>
          </w:p>
        </w:tc>
        <w:tc>
          <w:tcPr>
            <w:tcW w:w="2612" w:type="dxa"/>
          </w:tcPr>
          <w:p w14:paraId="39AEAD29" w14:textId="77777777" w:rsidR="00122B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/>
              <w:ind w:left="11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bookmarkStart w:id="2" w:name="164dgfsw1fzs" w:colFirst="0" w:colLast="0"/>
            <w:bookmarkEnd w:id="2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[Insert Salary Grade]</w:t>
            </w:r>
          </w:p>
        </w:tc>
      </w:tr>
      <w:tr w:rsidR="00122B82" w14:paraId="378ACF24" w14:textId="77777777">
        <w:trPr>
          <w:trHeight w:val="341"/>
        </w:trPr>
        <w:tc>
          <w:tcPr>
            <w:tcW w:w="2889" w:type="dxa"/>
          </w:tcPr>
          <w:p w14:paraId="172EC720" w14:textId="77777777" w:rsidR="00122B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/>
              <w:ind w:left="111"/>
              <w:jc w:val="right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Position:</w:t>
            </w:r>
          </w:p>
        </w:tc>
        <w:tc>
          <w:tcPr>
            <w:tcW w:w="2890" w:type="dxa"/>
          </w:tcPr>
          <w:p w14:paraId="7899D064" w14:textId="77777777" w:rsidR="00122B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/>
              <w:ind w:left="11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bookmarkStart w:id="3" w:name="u3icklh88mul" w:colFirst="0" w:colLast="0"/>
            <w:bookmarkEnd w:id="3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[Insert Candidate Position]</w:t>
            </w:r>
          </w:p>
        </w:tc>
        <w:tc>
          <w:tcPr>
            <w:tcW w:w="2611" w:type="dxa"/>
          </w:tcPr>
          <w:p w14:paraId="3FDC8E41" w14:textId="77777777" w:rsidR="00122B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/>
              <w:ind w:left="112"/>
              <w:jc w:val="right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Salary Range:</w:t>
            </w:r>
          </w:p>
        </w:tc>
        <w:tc>
          <w:tcPr>
            <w:tcW w:w="2612" w:type="dxa"/>
          </w:tcPr>
          <w:p w14:paraId="0B4A2C1B" w14:textId="77777777" w:rsidR="00122B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/>
              <w:ind w:left="11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bookmarkStart w:id="4" w:name="dalmlrap47fg" w:colFirst="0" w:colLast="0"/>
            <w:bookmarkEnd w:id="4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[Insert Salary Range]</w:t>
            </w:r>
          </w:p>
        </w:tc>
      </w:tr>
    </w:tbl>
    <w:p w14:paraId="63396EEB" w14:textId="77777777" w:rsidR="00122B82" w:rsidRDefault="00122B82">
      <w:pPr>
        <w:pBdr>
          <w:top w:val="nil"/>
          <w:left w:val="nil"/>
          <w:bottom w:val="nil"/>
          <w:right w:val="nil"/>
          <w:between w:val="nil"/>
        </w:pBdr>
        <w:spacing w:before="15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tbl>
      <w:tblPr>
        <w:tblStyle w:val="a0"/>
        <w:tblW w:w="11016" w:type="dxa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18"/>
        <w:gridCol w:w="2340"/>
        <w:gridCol w:w="7758"/>
      </w:tblGrid>
      <w:tr w:rsidR="00122B82" w14:paraId="70CE35CB" w14:textId="77777777">
        <w:trPr>
          <w:trHeight w:val="779"/>
        </w:trPr>
        <w:tc>
          <w:tcPr>
            <w:tcW w:w="918" w:type="dxa"/>
            <w:vAlign w:val="center"/>
          </w:tcPr>
          <w:p w14:paraId="2D611B38" w14:textId="77777777" w:rsidR="00122B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22" w:right="111" w:firstLine="19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Check all that apply</w:t>
            </w:r>
          </w:p>
        </w:tc>
        <w:tc>
          <w:tcPr>
            <w:tcW w:w="2340" w:type="dxa"/>
            <w:vAlign w:val="center"/>
          </w:tcPr>
          <w:p w14:paraId="015DF1C3" w14:textId="77777777" w:rsidR="00122B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49" w:right="98" w:firstLine="32"/>
              <w:jc w:val="center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Enticements / Inducements</w:t>
            </w:r>
          </w:p>
        </w:tc>
        <w:tc>
          <w:tcPr>
            <w:tcW w:w="7758" w:type="dxa"/>
            <w:vAlign w:val="center"/>
          </w:tcPr>
          <w:p w14:paraId="0C108515" w14:textId="77777777" w:rsidR="00122B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3"/>
              <w:jc w:val="center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Guidelines</w:t>
            </w:r>
          </w:p>
        </w:tc>
      </w:tr>
      <w:tr w:rsidR="00122B82" w14:paraId="05E6D4A7" w14:textId="77777777">
        <w:trPr>
          <w:trHeight w:val="1276"/>
        </w:trPr>
        <w:tc>
          <w:tcPr>
            <w:tcW w:w="918" w:type="dxa"/>
          </w:tcPr>
          <w:p w14:paraId="31F296CF" w14:textId="77777777" w:rsidR="00122B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 w:line="276" w:lineRule="auto"/>
              <w:ind w:left="111" w:right="-1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bookmarkStart w:id="5" w:name="uh2m7hn3l7ia" w:colFirst="0" w:colLast="0"/>
            <w:bookmarkEnd w:id="5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☐</w:t>
            </w:r>
          </w:p>
        </w:tc>
        <w:tc>
          <w:tcPr>
            <w:tcW w:w="2340" w:type="dxa"/>
          </w:tcPr>
          <w:p w14:paraId="42904E34" w14:textId="77777777" w:rsidR="00122B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 w:line="276" w:lineRule="auto"/>
              <w:ind w:left="108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Hiring Bonus</w:t>
            </w:r>
          </w:p>
        </w:tc>
        <w:tc>
          <w:tcPr>
            <w:tcW w:w="7758" w:type="dxa"/>
          </w:tcPr>
          <w:p w14:paraId="3514F3EA" w14:textId="77777777" w:rsidR="00122B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 w:line="276" w:lineRule="auto"/>
              <w:ind w:left="109" w:right="156"/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Up to 20% of base salary; combined hiring bonus and relocation allowance cannot exceed 30%of base salary; lump sum payment or spread over 2-4 years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(Non-base building cash payment; eligibility criteria: not employed by UC during the past 12 months preceding proposed hire date, difficult to fill position, and will not accept w/out bonus)</w:t>
            </w:r>
          </w:p>
          <w:p w14:paraId="7FDE155F" w14:textId="77777777" w:rsidR="00122B8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 w:line="276" w:lineRule="auto"/>
              <w:ind w:hanging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hyperlink r:id="rId9">
              <w:r>
                <w:rPr>
                  <w:rFonts w:ascii="Arial" w:eastAsia="Arial" w:hAnsi="Arial" w:cs="Arial"/>
                  <w:color w:val="0070C0"/>
                  <w:sz w:val="20"/>
                  <w:szCs w:val="20"/>
                  <w:u w:val="single"/>
                </w:rPr>
                <w:t>http://policy.ucop.edu/_files/smg-docs/smg_hire.pdf</w:t>
              </w:r>
            </w:hyperlink>
          </w:p>
        </w:tc>
      </w:tr>
      <w:tr w:rsidR="00122B82" w14:paraId="4FF5FBBE" w14:textId="77777777">
        <w:trPr>
          <w:trHeight w:val="1068"/>
        </w:trPr>
        <w:tc>
          <w:tcPr>
            <w:tcW w:w="918" w:type="dxa"/>
          </w:tcPr>
          <w:p w14:paraId="0378B6CE" w14:textId="77777777" w:rsidR="00122B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99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bookmarkStart w:id="6" w:name="ow4eg8a8cmqp" w:colFirst="0" w:colLast="0"/>
            <w:bookmarkEnd w:id="6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☐</w:t>
            </w:r>
          </w:p>
        </w:tc>
        <w:tc>
          <w:tcPr>
            <w:tcW w:w="2340" w:type="dxa"/>
          </w:tcPr>
          <w:p w14:paraId="4909AFC9" w14:textId="77777777" w:rsidR="00122B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108" w:right="98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Relocation Allowance</w:t>
            </w:r>
          </w:p>
        </w:tc>
        <w:tc>
          <w:tcPr>
            <w:tcW w:w="7758" w:type="dxa"/>
          </w:tcPr>
          <w:p w14:paraId="13A99FA5" w14:textId="77777777" w:rsidR="00122B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 w:line="276" w:lineRule="auto"/>
              <w:ind w:left="115" w:right="156"/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Up to 25% of base salary in a lump sum payment or spread over 2-4 years; combined relocation allowance and hiring bonus cannot exceed 30% of base salary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(Allowance to offset a portion of costs associated with accepting the University’s employment offer)</w:t>
            </w:r>
          </w:p>
          <w:p w14:paraId="6D5E2673" w14:textId="77777777" w:rsidR="00122B8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 w:line="276" w:lineRule="auto"/>
              <w:ind w:hanging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hyperlink r:id="rId10">
              <w:r>
                <w:rPr>
                  <w:rFonts w:ascii="Arial" w:eastAsia="Arial" w:hAnsi="Arial" w:cs="Arial"/>
                  <w:color w:val="0070C0"/>
                  <w:sz w:val="20"/>
                  <w:szCs w:val="20"/>
                  <w:u w:val="single"/>
                </w:rPr>
                <w:t>http://policy.ucop.edu/_files/smg-docs/smg_relocate_allow.pdf</w:t>
              </w:r>
            </w:hyperlink>
          </w:p>
        </w:tc>
      </w:tr>
      <w:tr w:rsidR="00122B82" w14:paraId="61CCB585" w14:textId="77777777">
        <w:trPr>
          <w:trHeight w:val="988"/>
        </w:trPr>
        <w:tc>
          <w:tcPr>
            <w:tcW w:w="918" w:type="dxa"/>
          </w:tcPr>
          <w:p w14:paraId="2AC78C81" w14:textId="77777777" w:rsidR="00122B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99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bookmarkStart w:id="7" w:name="ihfmdb0ncpw" w:colFirst="0" w:colLast="0"/>
            <w:bookmarkEnd w:id="7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☐</w:t>
            </w:r>
          </w:p>
        </w:tc>
        <w:tc>
          <w:tcPr>
            <w:tcW w:w="2340" w:type="dxa"/>
          </w:tcPr>
          <w:p w14:paraId="4465FA98" w14:textId="77777777" w:rsidR="00122B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 w:line="276" w:lineRule="auto"/>
              <w:ind w:left="92" w:right="623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Limited Housing Related Expenses</w:t>
            </w:r>
          </w:p>
        </w:tc>
        <w:tc>
          <w:tcPr>
            <w:tcW w:w="7758" w:type="dxa"/>
          </w:tcPr>
          <w:p w14:paraId="174B68DF" w14:textId="77777777" w:rsidR="00122B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 w:line="276" w:lineRule="auto"/>
              <w:ind w:left="109" w:right="573"/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Up to 90 days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(Reimbursement of limited housing-related expenses or temporary cash allowance for limited housing-related expenses while seeking permanent housing)</w:t>
            </w:r>
          </w:p>
          <w:p w14:paraId="4302E9B6" w14:textId="77777777" w:rsidR="00122B8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ind w:left="835" w:hanging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hyperlink r:id="rId11">
              <w:r>
                <w:rPr>
                  <w:rFonts w:ascii="Arial" w:eastAsia="Arial" w:hAnsi="Arial" w:cs="Arial"/>
                  <w:color w:val="0070C0"/>
                  <w:sz w:val="20"/>
                  <w:szCs w:val="20"/>
                  <w:u w:val="single"/>
                </w:rPr>
                <w:t>http://policy.ucop.edu/_files/smg-docs/smg_move_reimburse.pdf</w:t>
              </w:r>
            </w:hyperlink>
          </w:p>
        </w:tc>
      </w:tr>
      <w:tr w:rsidR="00122B82" w14:paraId="19CE6119" w14:textId="77777777">
        <w:trPr>
          <w:trHeight w:val="861"/>
        </w:trPr>
        <w:tc>
          <w:tcPr>
            <w:tcW w:w="918" w:type="dxa"/>
          </w:tcPr>
          <w:p w14:paraId="055C9752" w14:textId="77777777" w:rsidR="00122B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99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bookmarkStart w:id="8" w:name="y3txpgvjsin3" w:colFirst="0" w:colLast="0"/>
            <w:bookmarkEnd w:id="8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☐</w:t>
            </w:r>
          </w:p>
        </w:tc>
        <w:tc>
          <w:tcPr>
            <w:tcW w:w="2340" w:type="dxa"/>
          </w:tcPr>
          <w:p w14:paraId="4C25DCC3" w14:textId="77777777" w:rsidR="00122B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108" w:right="214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House Hunting Trips</w:t>
            </w:r>
          </w:p>
        </w:tc>
        <w:tc>
          <w:tcPr>
            <w:tcW w:w="7758" w:type="dxa"/>
          </w:tcPr>
          <w:p w14:paraId="6392F29D" w14:textId="77777777" w:rsidR="00122B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 w:line="276" w:lineRule="auto"/>
              <w:ind w:left="115" w:right="156"/>
              <w:rPr>
                <w:rFonts w:ascii="Arial" w:eastAsia="Arial" w:hAnsi="Arial" w:cs="Arial"/>
                <w:i/>
                <w:iCs/>
                <w:color w:val="0070C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Up to 2 trips (10 nights maximum) for employee and spouse/domestic partner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(Reimbursement of actual and reasonable expenses associated with looking for perma</w:t>
            </w:r>
            <w:r>
              <w:rPr>
                <w:rFonts w:ascii="Arial" w:eastAsia="Arial" w:hAnsi="Arial" w:cs="Arial"/>
                <w:i/>
                <w:iCs/>
                <w:color w:val="0070C0"/>
                <w:sz w:val="20"/>
                <w:szCs w:val="20"/>
              </w:rPr>
              <w:t>nent housing)</w:t>
            </w:r>
          </w:p>
          <w:p w14:paraId="17725FB5" w14:textId="77777777" w:rsidR="00122B8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ind w:left="835" w:hanging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hyperlink r:id="rId12">
              <w:r>
                <w:rPr>
                  <w:rFonts w:ascii="Arial" w:eastAsia="Arial" w:hAnsi="Arial" w:cs="Arial"/>
                  <w:color w:val="0070C0"/>
                  <w:sz w:val="20"/>
                  <w:szCs w:val="20"/>
                  <w:u w:val="single"/>
                </w:rPr>
                <w:t>http://policy.ucop.edu/_files/smg-docs/smg_move_reimburse.pdf</w:t>
              </w:r>
            </w:hyperlink>
          </w:p>
        </w:tc>
      </w:tr>
      <w:tr w:rsidR="00122B82" w14:paraId="61BB030F" w14:textId="77777777">
        <w:trPr>
          <w:trHeight w:val="858"/>
        </w:trPr>
        <w:tc>
          <w:tcPr>
            <w:tcW w:w="918" w:type="dxa"/>
          </w:tcPr>
          <w:p w14:paraId="1D6FB45B" w14:textId="77777777" w:rsidR="00122B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99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bookmarkStart w:id="9" w:name="7rzplbyrdiu3" w:colFirst="0" w:colLast="0"/>
            <w:bookmarkEnd w:id="9"/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2340" w:type="dxa"/>
          </w:tcPr>
          <w:p w14:paraId="6166CA58" w14:textId="77777777" w:rsidR="00122B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108" w:right="98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Moving Reimbursement</w:t>
            </w:r>
          </w:p>
        </w:tc>
        <w:tc>
          <w:tcPr>
            <w:tcW w:w="7758" w:type="dxa"/>
          </w:tcPr>
          <w:p w14:paraId="3F6D7027" w14:textId="77777777" w:rsidR="00122B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 w:line="276" w:lineRule="auto"/>
              <w:ind w:left="115" w:right="156"/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Up to 100% of allowable expenses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(Relocation of primary residence; move must occur w/n 1 year to be non-taxable; &gt;1 year becomes taxable income)</w:t>
            </w:r>
          </w:p>
          <w:p w14:paraId="64746E5E" w14:textId="77777777" w:rsidR="00122B8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ind w:left="835" w:hanging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hyperlink r:id="rId13">
              <w:r>
                <w:rPr>
                  <w:rFonts w:ascii="Arial" w:eastAsia="Arial" w:hAnsi="Arial" w:cs="Arial"/>
                  <w:color w:val="0070C0"/>
                  <w:sz w:val="20"/>
                  <w:szCs w:val="20"/>
                  <w:u w:val="single"/>
                </w:rPr>
                <w:t>http://policy.ucop.edu/_files/smg-docs/smg_move_reimburse.pdf</w:t>
              </w:r>
            </w:hyperlink>
          </w:p>
        </w:tc>
      </w:tr>
      <w:tr w:rsidR="00122B82" w14:paraId="623C13ED" w14:textId="77777777">
        <w:trPr>
          <w:trHeight w:val="655"/>
        </w:trPr>
        <w:tc>
          <w:tcPr>
            <w:tcW w:w="918" w:type="dxa"/>
          </w:tcPr>
          <w:p w14:paraId="5E713A67" w14:textId="77777777" w:rsidR="00122B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99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bookmarkStart w:id="10" w:name="cimnd2k45t0n" w:colFirst="0" w:colLast="0"/>
            <w:bookmarkEnd w:id="10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☐</w:t>
            </w:r>
          </w:p>
        </w:tc>
        <w:tc>
          <w:tcPr>
            <w:tcW w:w="2340" w:type="dxa"/>
          </w:tcPr>
          <w:p w14:paraId="38DA6719" w14:textId="77777777" w:rsidR="00122B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108" w:right="98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Automobile Allowance</w:t>
            </w:r>
          </w:p>
        </w:tc>
        <w:tc>
          <w:tcPr>
            <w:tcW w:w="7758" w:type="dxa"/>
          </w:tcPr>
          <w:p w14:paraId="2DB1F037" w14:textId="77777777" w:rsidR="00122B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 w:line="276" w:lineRule="auto"/>
              <w:ind w:left="115"/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$743/month </w:t>
            </w:r>
            <w:proofErr w:type="gramStart"/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( $</w:t>
            </w:r>
            <w:proofErr w:type="gramEnd"/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8,916/year)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(Chancellor, EVC/P and VCUA positions)</w:t>
            </w:r>
          </w:p>
          <w:p w14:paraId="1E59486C" w14:textId="77777777" w:rsidR="00122B8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 w:line="276" w:lineRule="auto"/>
              <w:ind w:hanging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hyperlink r:id="rId14">
              <w:r>
                <w:rPr>
                  <w:rFonts w:ascii="Arial" w:eastAsia="Arial" w:hAnsi="Arial" w:cs="Arial"/>
                  <w:color w:val="0070C0"/>
                  <w:sz w:val="20"/>
                  <w:szCs w:val="20"/>
                  <w:u w:val="single"/>
                </w:rPr>
                <w:t>http://policy.ucop.edu/_files/smg-docs/smg_auto_allow.pdf</w:t>
              </w:r>
            </w:hyperlink>
          </w:p>
        </w:tc>
      </w:tr>
      <w:tr w:rsidR="00122B82" w14:paraId="2DA5ACFE" w14:textId="77777777">
        <w:trPr>
          <w:trHeight w:val="1067"/>
        </w:trPr>
        <w:tc>
          <w:tcPr>
            <w:tcW w:w="918" w:type="dxa"/>
          </w:tcPr>
          <w:p w14:paraId="35D549E2" w14:textId="77777777" w:rsidR="00122B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99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bookmarkStart w:id="11" w:name="7mpwkls3gq7j" w:colFirst="0" w:colLast="0"/>
            <w:bookmarkEnd w:id="11"/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2340" w:type="dxa"/>
          </w:tcPr>
          <w:p w14:paraId="52803453" w14:textId="77777777" w:rsidR="00122B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108" w:right="173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Mortgage Origination Program (MOP)</w:t>
            </w:r>
          </w:p>
        </w:tc>
        <w:tc>
          <w:tcPr>
            <w:tcW w:w="7758" w:type="dxa"/>
          </w:tcPr>
          <w:p w14:paraId="1B642A19" w14:textId="77777777" w:rsidR="00122B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 w:line="276" w:lineRule="auto"/>
              <w:ind w:left="115" w:right="156"/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Loan amount based on credit worthiness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(1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  <w:vertAlign w:val="superscript"/>
              </w:rPr>
              <w:t>st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 xml:space="preserve"> deed trust loan; eligibility criteria: for purchase of primary residence and must not have owned primary residence near campus within preceding 12 months; can be used in conjunction with SHLP)</w:t>
            </w:r>
          </w:p>
          <w:p w14:paraId="6CAFC1AB" w14:textId="77777777" w:rsidR="00122B8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 w:line="276" w:lineRule="auto"/>
              <w:ind w:hanging="360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hyperlink r:id="rId15">
              <w:r>
                <w:rPr>
                  <w:rFonts w:ascii="Arial" w:eastAsia="Arial" w:hAnsi="Arial" w:cs="Arial"/>
                  <w:color w:val="0070C0"/>
                  <w:sz w:val="20"/>
                  <w:szCs w:val="20"/>
                  <w:u w:val="single"/>
                </w:rPr>
                <w:t>http://www.ucop.edu/loan-programs/loan-programs/mortgage-origination-program.html</w:t>
              </w:r>
            </w:hyperlink>
          </w:p>
        </w:tc>
      </w:tr>
      <w:tr w:rsidR="00122B82" w14:paraId="77CB239C" w14:textId="77777777">
        <w:trPr>
          <w:trHeight w:val="861"/>
        </w:trPr>
        <w:tc>
          <w:tcPr>
            <w:tcW w:w="918" w:type="dxa"/>
          </w:tcPr>
          <w:p w14:paraId="47EA4718" w14:textId="77777777" w:rsidR="00122B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99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bookmarkStart w:id="12" w:name="2pqqyafnxlbn" w:colFirst="0" w:colLast="0"/>
            <w:bookmarkEnd w:id="12"/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2340" w:type="dxa"/>
          </w:tcPr>
          <w:p w14:paraId="01B62DC1" w14:textId="77777777" w:rsidR="00122B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108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SHLP Program</w:t>
            </w:r>
          </w:p>
        </w:tc>
        <w:tc>
          <w:tcPr>
            <w:tcW w:w="7758" w:type="dxa"/>
          </w:tcPr>
          <w:p w14:paraId="4505E3E9" w14:textId="77777777" w:rsidR="00122B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 w:line="276" w:lineRule="auto"/>
              <w:ind w:left="115" w:right="156"/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Loan amount based on credit worthiness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(Secondary financing to help reduce cash down payment; can be used in conjunction with MOP)</w:t>
            </w:r>
          </w:p>
          <w:p w14:paraId="0E052E3A" w14:textId="77777777" w:rsidR="00122B8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 w:line="276" w:lineRule="auto"/>
              <w:ind w:hanging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hyperlink r:id="rId16">
              <w:r>
                <w:rPr>
                  <w:rFonts w:ascii="Arial" w:eastAsia="Arial" w:hAnsi="Arial" w:cs="Arial"/>
                  <w:color w:val="0070C0"/>
                  <w:sz w:val="20"/>
                  <w:szCs w:val="20"/>
                  <w:u w:val="single"/>
                </w:rPr>
                <w:t>http://www.ucop.edu/loan-programs/loan-programs/supplemental-home-loan-program-shlp.html</w:t>
              </w:r>
            </w:hyperlink>
          </w:p>
        </w:tc>
      </w:tr>
      <w:tr w:rsidR="00122B82" w14:paraId="741DD643" w14:textId="77777777">
        <w:trPr>
          <w:trHeight w:val="1067"/>
        </w:trPr>
        <w:tc>
          <w:tcPr>
            <w:tcW w:w="918" w:type="dxa"/>
          </w:tcPr>
          <w:p w14:paraId="47220EE2" w14:textId="77777777" w:rsidR="00122B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99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bookmarkStart w:id="13" w:name="6en3inkup0kc" w:colFirst="0" w:colLast="0"/>
            <w:bookmarkEnd w:id="13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☐</w:t>
            </w:r>
          </w:p>
        </w:tc>
        <w:tc>
          <w:tcPr>
            <w:tcW w:w="2340" w:type="dxa"/>
          </w:tcPr>
          <w:p w14:paraId="00A1CDA5" w14:textId="77777777" w:rsidR="00122B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108" w:right="173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Sabbatical Leave / Accrual</w:t>
            </w:r>
          </w:p>
        </w:tc>
        <w:tc>
          <w:tcPr>
            <w:tcW w:w="7758" w:type="dxa"/>
          </w:tcPr>
          <w:p w14:paraId="5A5AE8BD" w14:textId="77777777" w:rsidR="00122B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 w:line="276" w:lineRule="auto"/>
              <w:ind w:left="115" w:right="158"/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1 credit per quarter (4 credits per year)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(Eligibility criterion: SMG member with an underlying faculty appointment)</w:t>
            </w:r>
          </w:p>
          <w:p w14:paraId="6C9F8488" w14:textId="77777777" w:rsidR="00122B8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ind w:hanging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Leave: </w:t>
            </w:r>
            <w:hyperlink r:id="rId17">
              <w:r>
                <w:rPr>
                  <w:rFonts w:ascii="Arial" w:eastAsia="Arial" w:hAnsi="Arial" w:cs="Arial"/>
                  <w:color w:val="0070C0"/>
                  <w:sz w:val="20"/>
                  <w:szCs w:val="20"/>
                  <w:u w:val="single"/>
                </w:rPr>
                <w:t>http://policy.ucop.edu/doc/4010577</w:t>
              </w:r>
            </w:hyperlink>
          </w:p>
          <w:p w14:paraId="3EAC53F6" w14:textId="77777777" w:rsidR="00122B8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ind w:hanging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Accrual: </w:t>
            </w:r>
            <w:hyperlink r:id="rId18">
              <w:r>
                <w:rPr>
                  <w:rFonts w:ascii="Arial" w:eastAsia="Arial" w:hAnsi="Arial" w:cs="Arial"/>
                  <w:color w:val="0070C0"/>
                  <w:sz w:val="20"/>
                  <w:szCs w:val="20"/>
                  <w:u w:val="single"/>
                </w:rPr>
                <w:t>http://www.ucop.edu/academic-personnel/_files/apm/apm-740.pdf</w:t>
              </w:r>
            </w:hyperlink>
          </w:p>
        </w:tc>
      </w:tr>
      <w:tr w:rsidR="00122B82" w14:paraId="0BA4DDDB" w14:textId="77777777">
        <w:trPr>
          <w:trHeight w:val="1197"/>
        </w:trPr>
        <w:tc>
          <w:tcPr>
            <w:tcW w:w="918" w:type="dxa"/>
          </w:tcPr>
          <w:p w14:paraId="37B1B6A3" w14:textId="77777777" w:rsidR="00122B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99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bookmarkStart w:id="14" w:name="z5gr5mrw7ssr" w:colFirst="0" w:colLast="0"/>
            <w:bookmarkEnd w:id="14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☐</w:t>
            </w:r>
          </w:p>
        </w:tc>
        <w:tc>
          <w:tcPr>
            <w:tcW w:w="2340" w:type="dxa"/>
          </w:tcPr>
          <w:p w14:paraId="37B84D14" w14:textId="77777777" w:rsidR="00122B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115" w:right="619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Transition Leave</w:t>
            </w:r>
          </w:p>
        </w:tc>
        <w:tc>
          <w:tcPr>
            <w:tcW w:w="7758" w:type="dxa"/>
          </w:tcPr>
          <w:p w14:paraId="3471C525" w14:textId="77777777" w:rsidR="00122B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 w:line="276" w:lineRule="auto"/>
              <w:ind w:left="115" w:right="158"/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Up to 1 year of paid leave at the administrative rate of pay (percent of pay and length of leave based on available sabbatical credits earned for performing SMG service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)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(To refresh or enhance expertise; applicable immediately after appointment ends and individual plans to return to faculty position; Eligibility criterion: Minimum of 5 consecutive years in an eligible title; return to service provision; relinquish equivalent amount of sabbatical credits)</w:t>
            </w:r>
          </w:p>
        </w:tc>
      </w:tr>
    </w:tbl>
    <w:p w14:paraId="4EDFE3FD" w14:textId="77777777" w:rsidR="00122B82" w:rsidRDefault="00000000">
      <w:pPr>
        <w:pBdr>
          <w:top w:val="nil"/>
          <w:left w:val="nil"/>
          <w:bottom w:val="nil"/>
          <w:right w:val="nil"/>
          <w:between w:val="nil"/>
        </w:pBdr>
        <w:spacing w:before="118" w:line="276" w:lineRule="auto"/>
        <w:ind w:left="360" w:right="465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color w:val="000000"/>
          <w:sz w:val="20"/>
          <w:szCs w:val="20"/>
        </w:rPr>
        <w:t>Note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: SMG non-base building annual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incentive award plans </w:t>
      </w:r>
      <w:r>
        <w:rPr>
          <w:rFonts w:ascii="Arial" w:eastAsia="Arial" w:hAnsi="Arial" w:cs="Arial"/>
          <w:color w:val="000000"/>
          <w:sz w:val="20"/>
          <w:szCs w:val="20"/>
        </w:rPr>
        <w:t>are allowable under UC policy; however, establishment of such plans are not supported by UCOP.</w:t>
      </w:r>
    </w:p>
    <w:sectPr w:rsidR="00122B82">
      <w:footerReference w:type="even" r:id="rId19"/>
      <w:footerReference w:type="default" r:id="rId20"/>
      <w:pgSz w:w="12240" w:h="15840"/>
      <w:pgMar w:top="640" w:right="360" w:bottom="600" w:left="360" w:header="0" w:footer="41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918B52" w14:textId="77777777" w:rsidR="00AA7205" w:rsidRDefault="00AA7205">
      <w:r>
        <w:separator/>
      </w:r>
    </w:p>
  </w:endnote>
  <w:endnote w:type="continuationSeparator" w:id="0">
    <w:p w14:paraId="2BBFB346" w14:textId="77777777" w:rsidR="00AA7205" w:rsidRDefault="00AA72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  <w:embedRegular r:id="rId1" w:fontKey="{5D548831-C6AC-9E48-9423-14C19FB977D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2DB53696-8CF3-1C4C-A2F5-0F2FE46BA80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2EB727B-7A9B-E740-8708-2417A3849AEF}"/>
    <w:embedBold r:id="rId4" w:fontKey="{A2BEA823-1A14-0943-9D21-1BBF9E14519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2760127A-DAAE-F94E-BED1-CB9839707B09}"/>
    <w:embedBold r:id="rId6" w:fontKey="{2F0C454B-37A5-4441-A3BB-87F6BA155CDA}"/>
    <w:embedItalic r:id="rId7" w:fontKey="{8F5058CA-2CD6-034E-A694-35416DDD4F81}"/>
    <w:embedBoldItalic r:id="rId8" w:fontKey="{A44388B2-DB12-E540-9694-73F54755C58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9" w:fontKey="{7D5C5CFC-B11E-954B-BA6D-2D3626FEAE3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E549F15E-D4B8-5F43-9DAF-2ACA85E9C0E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91767689-033A-A141-AA0A-4EABC15C9B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BA89C4" w14:textId="77777777" w:rsidR="00122B8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3E441EB6" w14:textId="77777777" w:rsidR="00122B82" w:rsidRDefault="00122B8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E95AB5" w14:textId="77777777" w:rsidR="00122B8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Arial" w:eastAsia="Arial" w:hAnsi="Arial" w:cs="Arial"/>
        <w:color w:val="808080"/>
        <w:sz w:val="18"/>
        <w:szCs w:val="18"/>
      </w:rPr>
    </w:pPr>
    <w:r>
      <w:rPr>
        <w:rFonts w:ascii="Arial" w:eastAsia="Arial" w:hAnsi="Arial" w:cs="Arial"/>
        <w:color w:val="808080"/>
        <w:sz w:val="18"/>
        <w:szCs w:val="18"/>
      </w:rPr>
      <w:fldChar w:fldCharType="begin"/>
    </w:r>
    <w:r>
      <w:rPr>
        <w:rFonts w:ascii="Arial" w:eastAsia="Arial" w:hAnsi="Arial" w:cs="Arial"/>
        <w:color w:val="808080"/>
        <w:sz w:val="18"/>
        <w:szCs w:val="18"/>
      </w:rPr>
      <w:instrText>PAGE</w:instrText>
    </w:r>
    <w:r>
      <w:rPr>
        <w:rFonts w:ascii="Arial" w:eastAsia="Arial" w:hAnsi="Arial" w:cs="Arial"/>
        <w:color w:val="808080"/>
        <w:sz w:val="18"/>
        <w:szCs w:val="18"/>
      </w:rPr>
      <w:fldChar w:fldCharType="separate"/>
    </w:r>
    <w:r w:rsidR="00622412">
      <w:rPr>
        <w:rFonts w:ascii="Arial" w:eastAsia="Arial" w:hAnsi="Arial" w:cs="Arial"/>
        <w:noProof/>
        <w:color w:val="808080"/>
        <w:sz w:val="18"/>
        <w:szCs w:val="18"/>
      </w:rPr>
      <w:t>1</w:t>
    </w:r>
    <w:r>
      <w:rPr>
        <w:rFonts w:ascii="Arial" w:eastAsia="Arial" w:hAnsi="Arial" w:cs="Arial"/>
        <w:color w:val="808080"/>
        <w:sz w:val="18"/>
        <w:szCs w:val="18"/>
      </w:rPr>
      <w:fldChar w:fldCharType="end"/>
    </w:r>
  </w:p>
  <w:p w14:paraId="1F49CC1D" w14:textId="77777777" w:rsidR="00122B82" w:rsidRDefault="00000000">
    <w:pPr>
      <w:tabs>
        <w:tab w:val="left" w:pos="9900"/>
      </w:tabs>
      <w:spacing w:before="14"/>
      <w:ind w:left="270" w:right="900"/>
      <w:rPr>
        <w:rFonts w:ascii="Arial" w:eastAsia="Arial" w:hAnsi="Arial" w:cs="Arial"/>
        <w:color w:val="808080"/>
        <w:sz w:val="18"/>
        <w:szCs w:val="18"/>
      </w:rPr>
    </w:pPr>
    <w:r>
      <w:rPr>
        <w:rFonts w:ascii="Arial" w:eastAsia="Arial" w:hAnsi="Arial" w:cs="Arial"/>
        <w:color w:val="808080"/>
        <w:sz w:val="18"/>
        <w:szCs w:val="18"/>
      </w:rPr>
      <w:t xml:space="preserve">Management Group Recruitment Enticements/Inducements (UCR: HR 6/2014) </w:t>
    </w:r>
    <w:r>
      <w:rPr>
        <w:rFonts w:ascii="Arial" w:eastAsia="Arial" w:hAnsi="Arial" w:cs="Arial"/>
        <w:color w:val="808080"/>
        <w:sz w:val="13"/>
        <w:szCs w:val="13"/>
      </w:rPr>
      <w:t>au26</w:t>
    </w:r>
    <w:r>
      <w:rPr>
        <w:rFonts w:ascii="Arial" w:eastAsia="Arial" w:hAnsi="Arial" w:cs="Arial"/>
        <w:color w:val="808080"/>
        <w:sz w:val="13"/>
        <w:szCs w:val="13"/>
      </w:rPr>
      <w:tab/>
      <w:t xml:space="preserve">Page </w:t>
    </w:r>
  </w:p>
  <w:p w14:paraId="6D283FD6" w14:textId="77777777" w:rsidR="00122B82" w:rsidRDefault="00122B82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DBD01D" w14:textId="77777777" w:rsidR="00AA7205" w:rsidRDefault="00AA7205">
      <w:r>
        <w:separator/>
      </w:r>
    </w:p>
  </w:footnote>
  <w:footnote w:type="continuationSeparator" w:id="0">
    <w:p w14:paraId="5D5C9E11" w14:textId="77777777" w:rsidR="00AA7205" w:rsidRDefault="00AA72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B61200"/>
    <w:multiLevelType w:val="multilevel"/>
    <w:tmpl w:val="88E8C99E"/>
    <w:lvl w:ilvl="0">
      <w:start w:val="1"/>
      <w:numFmt w:val="bullet"/>
      <w:lvlText w:val="●"/>
      <w:lvlJc w:val="left"/>
      <w:pPr>
        <w:ind w:left="829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89" w:hanging="360"/>
      </w:pPr>
      <w:rPr>
        <w:rFonts w:ascii="Noto Sans Symbols" w:eastAsia="Noto Sans Symbols" w:hAnsi="Noto Sans Symbols" w:cs="Noto Sans Symbols"/>
      </w:rPr>
    </w:lvl>
  </w:abstractNum>
  <w:num w:numId="1" w16cid:durableId="21240366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4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2B82"/>
    <w:rsid w:val="00122B82"/>
    <w:rsid w:val="00622412"/>
    <w:rsid w:val="00AA7205"/>
    <w:rsid w:val="00F11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BE1B57C"/>
  <w15:docId w15:val="{4164B3E9-E1B0-7E44-B9A9-E5DA74E46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ind w:right="1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360"/>
      <w:ind w:left="90" w:right="270"/>
      <w:jc w:val="right"/>
    </w:pPr>
    <w:rPr>
      <w:rFonts w:ascii="Arial" w:eastAsia="Arial" w:hAnsi="Arial" w:cs="Arial"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policy.ucop.edu/_files/smg-docs/smg_move_reimburse.pdf" TargetMode="External"/><Relationship Id="rId18" Type="http://schemas.openxmlformats.org/officeDocument/2006/relationships/hyperlink" Target="https://ucop.edu/academic-personnel-programs/_files/apm/apm-740.pdf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://policy.ucop.edu/_files/smg-docs/smg_move_reimburse.pdf" TargetMode="External"/><Relationship Id="rId17" Type="http://schemas.openxmlformats.org/officeDocument/2006/relationships/hyperlink" Target="http://policy.ucop.edu/doc/4010577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ucop.edu/loan-programs/loan-programs/supplemental-home-loan-program-shlp.html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policy.ucop.edu/_files/smg-docs/smg_move_reimburse.pdf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ucop.edu/loan-programs/loan-programs/mortgage-origination-program.html" TargetMode="External"/><Relationship Id="rId10" Type="http://schemas.openxmlformats.org/officeDocument/2006/relationships/hyperlink" Target="http://policy.ucop.edu/_files/smg-docs/smg_relocate_allow.pdf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policy.ucop.edu/_files/smg-docs/smg_hire.pdf" TargetMode="External"/><Relationship Id="rId14" Type="http://schemas.openxmlformats.org/officeDocument/2006/relationships/hyperlink" Target="http://policy.ucop.edu/_files/smg-docs/smg_auto_allow.pdf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630</Words>
  <Characters>3594</Characters>
  <Application>Microsoft Office Word</Application>
  <DocSecurity>0</DocSecurity>
  <Lines>29</Lines>
  <Paragraphs>8</Paragraphs>
  <ScaleCrop>false</ScaleCrop>
  <Company/>
  <LinksUpToDate>false</LinksUpToDate>
  <CharactersWithSpaces>4216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Jorge Sanchez</cp:lastModifiedBy>
  <cp:revision>2</cp:revision>
  <dcterms:created xsi:type="dcterms:W3CDTF">2026-05-11T18:33:00Z</dcterms:created>
  <dcterms:modified xsi:type="dcterms:W3CDTF">2026-05-11T18:33:00Z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2014-06-10T00:00:00Z</vt:lpwstr>
  </property>
  <property fmtid="{D5CDD505-2E9C-101B-9397-08002B2CF9AE}" pid="3" name="Creator">
    <vt:lpwstr>Microsoft® Word 2010</vt:lpwstr>
  </property>
  <property fmtid="{D5CDD505-2E9C-101B-9397-08002B2CF9AE}" pid="4" name="LastSaved">
    <vt:lpwstr>2026-05-11T00:00:00Z</vt:lpwstr>
  </property>
  <property fmtid="{D5CDD505-2E9C-101B-9397-08002B2CF9AE}" pid="5" name="Producer">
    <vt:lpwstr>Microsoft® Word 2010</vt:lpwstr>
  </property>
</Properties>
</file>