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2238F" w14:textId="77777777" w:rsidR="00985206" w:rsidRDefault="00985206">
      <w:pPr>
        <w:widowControl w:val="0"/>
        <w:pBdr>
          <w:top w:val="nil"/>
          <w:left w:val="nil"/>
          <w:bottom w:val="nil"/>
          <w:right w:val="nil"/>
          <w:between w:val="nil"/>
        </w:pBdr>
        <w:spacing w:after="0"/>
        <w:rPr>
          <w:rFonts w:ascii="Arial" w:eastAsia="Arial" w:hAnsi="Arial" w:cs="Arial"/>
          <w:color w:val="000000"/>
        </w:rPr>
      </w:pPr>
    </w:p>
    <w:tbl>
      <w:tblPr>
        <w:tblStyle w:val="a"/>
        <w:tblW w:w="8856" w:type="dxa"/>
        <w:tblInd w:w="-108" w:type="dxa"/>
        <w:tblLayout w:type="fixed"/>
        <w:tblLook w:val="0000" w:firstRow="0" w:lastRow="0" w:firstColumn="0" w:lastColumn="0" w:noHBand="0" w:noVBand="0"/>
      </w:tblPr>
      <w:tblGrid>
        <w:gridCol w:w="828"/>
        <w:gridCol w:w="8028"/>
      </w:tblGrid>
      <w:tr w:rsidR="00985206" w14:paraId="5D3929FE" w14:textId="77777777">
        <w:trPr>
          <w:trHeight w:val="350"/>
        </w:trPr>
        <w:tc>
          <w:tcPr>
            <w:tcW w:w="828" w:type="dxa"/>
          </w:tcPr>
          <w:p w14:paraId="0A9B06A9" w14:textId="77777777" w:rsidR="00985206"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Date:</w:t>
            </w:r>
          </w:p>
        </w:tc>
        <w:tc>
          <w:tcPr>
            <w:tcW w:w="8028" w:type="dxa"/>
          </w:tcPr>
          <w:p w14:paraId="785B2F79" w14:textId="77777777" w:rsidR="00985206"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bookmarkStart w:id="0" w:name="njag10f5xeaf" w:colFirst="0" w:colLast="0"/>
            <w:bookmarkEnd w:id="0"/>
            <w:r>
              <w:rPr>
                <w:rFonts w:ascii="Arial" w:eastAsia="Arial" w:hAnsi="Arial" w:cs="Arial"/>
                <w:color w:val="000000"/>
                <w:sz w:val="20"/>
                <w:szCs w:val="20"/>
              </w:rPr>
              <w:t>[enter memo date]</w:t>
            </w:r>
          </w:p>
        </w:tc>
      </w:tr>
      <w:tr w:rsidR="00985206" w14:paraId="2B339F31" w14:textId="77777777">
        <w:trPr>
          <w:trHeight w:val="350"/>
        </w:trPr>
        <w:tc>
          <w:tcPr>
            <w:tcW w:w="828" w:type="dxa"/>
          </w:tcPr>
          <w:p w14:paraId="750CEAD5" w14:textId="77777777" w:rsidR="00985206"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To:</w:t>
            </w:r>
          </w:p>
        </w:tc>
        <w:tc>
          <w:tcPr>
            <w:tcW w:w="8028" w:type="dxa"/>
          </w:tcPr>
          <w:p w14:paraId="0B99ED5C" w14:textId="77777777" w:rsidR="00985206" w:rsidRDefault="00000000">
            <w:pPr>
              <w:pBdr>
                <w:top w:val="nil"/>
                <w:left w:val="nil"/>
                <w:bottom w:val="nil"/>
                <w:right w:val="nil"/>
                <w:between w:val="nil"/>
              </w:pBdr>
              <w:spacing w:before="120" w:after="120" w:line="240" w:lineRule="auto"/>
              <w:ind w:right="630"/>
              <w:rPr>
                <w:rFonts w:ascii="Arial" w:eastAsia="Arial" w:hAnsi="Arial" w:cs="Arial"/>
                <w:color w:val="000000"/>
                <w:sz w:val="20"/>
                <w:szCs w:val="20"/>
              </w:rPr>
            </w:pPr>
            <w:r>
              <w:rPr>
                <w:rFonts w:ascii="Arial" w:eastAsia="Arial" w:hAnsi="Arial" w:cs="Arial"/>
                <w:color w:val="000000"/>
                <w:sz w:val="20"/>
                <w:szCs w:val="20"/>
              </w:rPr>
              <w:t>[enter recipient name]</w:t>
            </w:r>
          </w:p>
        </w:tc>
      </w:tr>
      <w:tr w:rsidR="00985206" w14:paraId="68D3B24F" w14:textId="77777777">
        <w:trPr>
          <w:trHeight w:val="350"/>
        </w:trPr>
        <w:tc>
          <w:tcPr>
            <w:tcW w:w="828" w:type="dxa"/>
            <w:tcBorders>
              <w:bottom w:val="single" w:sz="4" w:space="0" w:color="000000"/>
            </w:tcBorders>
          </w:tcPr>
          <w:p w14:paraId="766EDA30" w14:textId="77777777" w:rsidR="00985206"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Re:</w:t>
            </w:r>
          </w:p>
        </w:tc>
        <w:tc>
          <w:tcPr>
            <w:tcW w:w="8028" w:type="dxa"/>
            <w:tcBorders>
              <w:bottom w:val="single" w:sz="4" w:space="0" w:color="000000"/>
            </w:tcBorders>
          </w:tcPr>
          <w:p w14:paraId="15B556E8" w14:textId="77777777" w:rsidR="00985206"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Moving from Postdoctoral Benefits to Mid-Level Benefits</w:t>
            </w:r>
          </w:p>
        </w:tc>
      </w:tr>
    </w:tbl>
    <w:p w14:paraId="1C6C6B1A" w14:textId="77777777" w:rsidR="00985206" w:rsidRDefault="00985206">
      <w:pPr>
        <w:pBdr>
          <w:top w:val="nil"/>
          <w:left w:val="nil"/>
          <w:bottom w:val="nil"/>
          <w:right w:val="nil"/>
          <w:between w:val="nil"/>
        </w:pBdr>
        <w:spacing w:after="0" w:line="240" w:lineRule="auto"/>
        <w:rPr>
          <w:rFonts w:ascii="Arial" w:eastAsia="Arial" w:hAnsi="Arial" w:cs="Arial"/>
          <w:color w:val="000000"/>
          <w:sz w:val="20"/>
          <w:szCs w:val="20"/>
        </w:rPr>
      </w:pPr>
    </w:p>
    <w:p w14:paraId="0655753A" w14:textId="77777777" w:rsidR="00985206" w:rsidRDefault="00000000">
      <w:pPr>
        <w:keepNext/>
        <w:pBdr>
          <w:top w:val="nil"/>
          <w:left w:val="nil"/>
          <w:bottom w:val="nil"/>
          <w:right w:val="nil"/>
          <w:between w:val="nil"/>
        </w:pBdr>
        <w:spacing w:after="120" w:line="240" w:lineRule="auto"/>
        <w:rPr>
          <w:rFonts w:ascii="Arial" w:eastAsia="Arial" w:hAnsi="Arial" w:cs="Arial"/>
          <w:color w:val="000000"/>
          <w:sz w:val="20"/>
          <w:szCs w:val="20"/>
        </w:rPr>
      </w:pPr>
      <w:r>
        <w:rPr>
          <w:rFonts w:ascii="Arial" w:eastAsia="Arial" w:hAnsi="Arial" w:cs="Arial"/>
          <w:color w:val="000000"/>
          <w:sz w:val="20"/>
          <w:szCs w:val="20"/>
        </w:rPr>
        <w:t>The university has modified its rules governing eligibility for certain health and welfare benefits. Accordingly, as you have become or are about to become ineligible for any of the following university-sponsored plans in which you are enrolled. You are losing your eligibility for the following reason:</w:t>
      </w:r>
    </w:p>
    <w:p w14:paraId="177EEF11" w14:textId="77777777" w:rsidR="00985206" w:rsidRDefault="00000000">
      <w:pPr>
        <w:numPr>
          <w:ilvl w:val="0"/>
          <w:numId w:val="1"/>
        </w:num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 xml:space="preserve">A change in your appointment status or work schedule has made you or will make you ineligible for these benefits. </w:t>
      </w:r>
    </w:p>
    <w:p w14:paraId="7BA60D1A" w14:textId="77777777" w:rsidR="00985206"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If you have questions about your appointment level, work schedule, or loss of eligibility, see your supervisor or department head immediately.</w:t>
      </w:r>
    </w:p>
    <w:p w14:paraId="2C51ABE9" w14:textId="77777777" w:rsidR="00985206" w:rsidRDefault="00000000">
      <w:pPr>
        <w:pStyle w:val="Heading1"/>
      </w:pPr>
      <w:bookmarkStart w:id="1" w:name="_48zbbirbsxjz" w:colFirst="0" w:colLast="0"/>
      <w:bookmarkEnd w:id="1"/>
      <w:r>
        <w:t>Coverage You Lose</w:t>
      </w:r>
    </w:p>
    <w:p w14:paraId="543CE116" w14:textId="77777777" w:rsidR="00985206"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You will be de-enrolled from any of the following university-sponsored plans in which you are enrolled. Check with your benefits representative to determine your last day of coverage for each plan.</w:t>
      </w:r>
    </w:p>
    <w:p w14:paraId="3E93E1DC" w14:textId="77777777" w:rsidR="00985206" w:rsidRDefault="00000000">
      <w:pPr>
        <w:numPr>
          <w:ilvl w:val="0"/>
          <w:numId w:val="1"/>
        </w:numPr>
        <w:pBdr>
          <w:top w:val="nil"/>
          <w:left w:val="nil"/>
          <w:bottom w:val="nil"/>
          <w:right w:val="nil"/>
          <w:between w:val="nil"/>
        </w:pBdr>
        <w:spacing w:after="120" w:line="240" w:lineRule="auto"/>
        <w:rPr>
          <w:rFonts w:ascii="Arial" w:eastAsia="Arial" w:hAnsi="Arial" w:cs="Arial"/>
          <w:color w:val="000000"/>
          <w:sz w:val="20"/>
          <w:szCs w:val="20"/>
        </w:rPr>
      </w:pPr>
      <w:r>
        <w:rPr>
          <w:rFonts w:ascii="Arial" w:eastAsia="Arial" w:hAnsi="Arial" w:cs="Arial"/>
          <w:color w:val="000000"/>
          <w:sz w:val="20"/>
          <w:szCs w:val="20"/>
        </w:rPr>
        <w:t xml:space="preserve">Postdoctoral Medical Plan </w:t>
      </w:r>
    </w:p>
    <w:p w14:paraId="4A4C78BB" w14:textId="77777777" w:rsidR="00985206" w:rsidRDefault="00000000">
      <w:pPr>
        <w:numPr>
          <w:ilvl w:val="0"/>
          <w:numId w:val="1"/>
        </w:numPr>
        <w:pBdr>
          <w:top w:val="nil"/>
          <w:left w:val="nil"/>
          <w:bottom w:val="nil"/>
          <w:right w:val="nil"/>
          <w:between w:val="nil"/>
        </w:pBdr>
        <w:spacing w:after="120" w:line="240" w:lineRule="auto"/>
        <w:rPr>
          <w:rFonts w:ascii="Arial" w:eastAsia="Arial" w:hAnsi="Arial" w:cs="Arial"/>
          <w:color w:val="000000"/>
          <w:sz w:val="20"/>
          <w:szCs w:val="20"/>
        </w:rPr>
      </w:pPr>
      <w:r>
        <w:rPr>
          <w:rFonts w:ascii="Arial" w:eastAsia="Arial" w:hAnsi="Arial" w:cs="Arial"/>
          <w:color w:val="000000"/>
          <w:sz w:val="20"/>
          <w:szCs w:val="20"/>
        </w:rPr>
        <w:t xml:space="preserve">Postdoctoral Dental Plan </w:t>
      </w:r>
    </w:p>
    <w:p w14:paraId="72C08688" w14:textId="77777777" w:rsidR="00985206" w:rsidRDefault="00000000">
      <w:pPr>
        <w:numPr>
          <w:ilvl w:val="0"/>
          <w:numId w:val="1"/>
        </w:num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 xml:space="preserve">Postdoctoral Optical Services Plan </w:t>
      </w:r>
    </w:p>
    <w:p w14:paraId="5EF5FF1F" w14:textId="77777777" w:rsidR="00985206" w:rsidRDefault="00000000">
      <w:pPr>
        <w:pStyle w:val="Heading1"/>
      </w:pPr>
      <w:bookmarkStart w:id="2" w:name="_4446z8sqxprb" w:colFirst="0" w:colLast="0"/>
      <w:bookmarkEnd w:id="2"/>
      <w:r>
        <w:t>Options for Continued Coverage</w:t>
      </w:r>
    </w:p>
    <w:p w14:paraId="1E4941DF" w14:textId="77777777" w:rsidR="00985206"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You may continue group coverage in your current medical, dental and optical services plans for up to 18 months under provisions of the Consolidated Omnibus Budget Reconciliation Act of 1985 (COBRA). Under COBRA, you pay the gross premium (that is, both employer and employee contributions) plus 2% directly to the insurance carrier. COBRA forms and rate information are available from your Benefits Representative. You have 60 days from the date you receive this notice or the date of de-enrollment by the university, whichever is later, to inform the insurance carrier that you want continuation coverage.</w:t>
      </w:r>
    </w:p>
    <w:p w14:paraId="7B70DA48" w14:textId="77777777" w:rsidR="00985206"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When COBRA coverage ends, you may convert your medical plan to an individual policy. Dental and optical services plans may not be converted. Your medical insurance carrier must receive your conversion application and the required premium within 31 days of the date group coverage ends. See your benefits representative for more information.</w:t>
      </w:r>
    </w:p>
    <w:p w14:paraId="3372E6EE" w14:textId="77777777" w:rsidR="00985206" w:rsidRDefault="00000000">
      <w:pPr>
        <w:pStyle w:val="Heading1"/>
      </w:pPr>
      <w:bookmarkStart w:id="3" w:name="_rr9p1ae3ghd7" w:colFirst="0" w:colLast="0"/>
      <w:bookmarkEnd w:id="3"/>
      <w:r>
        <w:t xml:space="preserve">New Coverage Options </w:t>
      </w:r>
    </w:p>
    <w:p w14:paraId="5A120C28" w14:textId="77777777" w:rsidR="00985206" w:rsidRDefault="00000000">
      <w:pPr>
        <w:keepNext/>
        <w:pBdr>
          <w:top w:val="nil"/>
          <w:left w:val="nil"/>
          <w:bottom w:val="nil"/>
          <w:right w:val="nil"/>
          <w:between w:val="nil"/>
        </w:pBdr>
        <w:spacing w:after="120" w:line="240" w:lineRule="auto"/>
        <w:rPr>
          <w:rFonts w:ascii="Arial" w:eastAsia="Arial" w:hAnsi="Arial" w:cs="Arial"/>
          <w:color w:val="000000"/>
          <w:sz w:val="20"/>
          <w:szCs w:val="20"/>
        </w:rPr>
      </w:pPr>
      <w:r>
        <w:rPr>
          <w:rFonts w:ascii="Arial" w:eastAsia="Arial" w:hAnsi="Arial" w:cs="Arial"/>
          <w:color w:val="000000"/>
          <w:sz w:val="20"/>
          <w:szCs w:val="20"/>
        </w:rPr>
        <w:t>University employees are eligible for the university's mid-level (limited) benefits package if they meet either of the following sets of criteria:</w:t>
      </w:r>
    </w:p>
    <w:p w14:paraId="01693041" w14:textId="77777777" w:rsidR="00985206" w:rsidRDefault="00000000">
      <w:pPr>
        <w:numPr>
          <w:ilvl w:val="0"/>
          <w:numId w:val="2"/>
        </w:numPr>
        <w:pBdr>
          <w:top w:val="nil"/>
          <w:left w:val="nil"/>
          <w:bottom w:val="nil"/>
          <w:right w:val="nil"/>
          <w:between w:val="nil"/>
        </w:pBdr>
        <w:spacing w:after="120" w:line="240" w:lineRule="auto"/>
        <w:rPr>
          <w:rFonts w:ascii="Arial" w:eastAsia="Arial" w:hAnsi="Arial" w:cs="Arial"/>
          <w:color w:val="000000"/>
          <w:sz w:val="20"/>
          <w:szCs w:val="20"/>
        </w:rPr>
      </w:pPr>
      <w:r>
        <w:rPr>
          <w:rFonts w:ascii="Arial" w:eastAsia="Arial" w:hAnsi="Arial" w:cs="Arial"/>
          <w:color w:val="000000"/>
          <w:sz w:val="20"/>
          <w:szCs w:val="20"/>
        </w:rPr>
        <w:t xml:space="preserve">Appointed at 50% time or more for at least 12 months, average regular paid time commensurate with that appointment, </w:t>
      </w:r>
      <w:r>
        <w:rPr>
          <w:rFonts w:ascii="Arial" w:eastAsia="Arial" w:hAnsi="Arial" w:cs="Arial"/>
          <w:b/>
          <w:bCs/>
          <w:color w:val="002060"/>
          <w:sz w:val="20"/>
          <w:szCs w:val="20"/>
        </w:rPr>
        <w:t>not</w:t>
      </w:r>
      <w:r>
        <w:rPr>
          <w:rFonts w:ascii="Arial" w:eastAsia="Arial" w:hAnsi="Arial" w:cs="Arial"/>
          <w:color w:val="000000"/>
          <w:sz w:val="20"/>
          <w:szCs w:val="20"/>
        </w:rPr>
        <w:t xml:space="preserve"> a member of a defined benefit retirement plan to which the university contributes (for example, visiting appointments). </w:t>
      </w:r>
    </w:p>
    <w:p w14:paraId="3B6CD94C" w14:textId="77777777" w:rsidR="00985206" w:rsidRDefault="00000000">
      <w:pPr>
        <w:numPr>
          <w:ilvl w:val="0"/>
          <w:numId w:val="2"/>
        </w:numPr>
        <w:pBdr>
          <w:top w:val="nil"/>
          <w:left w:val="nil"/>
          <w:bottom w:val="nil"/>
          <w:right w:val="nil"/>
          <w:between w:val="nil"/>
        </w:pBdr>
        <w:spacing w:after="120" w:line="240" w:lineRule="auto"/>
        <w:rPr>
          <w:rFonts w:ascii="Arial" w:eastAsia="Arial" w:hAnsi="Arial" w:cs="Arial"/>
          <w:color w:val="000000"/>
          <w:sz w:val="20"/>
          <w:szCs w:val="20"/>
        </w:rPr>
      </w:pPr>
      <w:r>
        <w:rPr>
          <w:rFonts w:ascii="Arial" w:eastAsia="Arial" w:hAnsi="Arial" w:cs="Arial"/>
          <w:color w:val="000000"/>
          <w:sz w:val="20"/>
          <w:szCs w:val="20"/>
        </w:rPr>
        <w:lastRenderedPageBreak/>
        <w:t xml:space="preserve">Appointed at 100% time for at least three months, average regular paid time commensurate with that appointment. </w:t>
      </w:r>
    </w:p>
    <w:p w14:paraId="59D90E7A" w14:textId="77777777" w:rsidR="00985206" w:rsidRDefault="00000000">
      <w:pPr>
        <w:numPr>
          <w:ilvl w:val="0"/>
          <w:numId w:val="2"/>
        </w:num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 xml:space="preserve">Work a minimum of 17.5 hours average paid time per week. </w:t>
      </w:r>
    </w:p>
    <w:p w14:paraId="770D49C4" w14:textId="77777777" w:rsidR="00985206"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 xml:space="preserve">A change in your appointment level or work schedule has made you eligible for this benefits package as of </w:t>
      </w:r>
      <w:r>
        <w:rPr>
          <w:rFonts w:ascii="Arial" w:eastAsia="Arial" w:hAnsi="Arial" w:cs="Arial"/>
          <w:color w:val="000000"/>
          <w:sz w:val="20"/>
          <w:szCs w:val="20"/>
          <w:u w:val="single"/>
        </w:rPr>
        <w:t>[enter eligibility date]</w:t>
      </w:r>
      <w:r>
        <w:rPr>
          <w:rFonts w:ascii="Arial" w:eastAsia="Arial" w:hAnsi="Arial" w:cs="Arial"/>
          <w:color w:val="000000"/>
          <w:sz w:val="20"/>
          <w:szCs w:val="20"/>
        </w:rPr>
        <w:t>.</w:t>
      </w:r>
    </w:p>
    <w:p w14:paraId="53D3D02D" w14:textId="77777777" w:rsidR="00985206"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Enrollment in some of the health and welfare benefit plans for which you are now eligible is automatic. In others, enrollment is voluntary, and enrollment deadlines apply in certain cases. Enrollment forms and brochures describing each of the benefits in detail are available from the personnel/payroll assistant in your department.</w:t>
      </w:r>
    </w:p>
    <w:p w14:paraId="7FE61E71" w14:textId="77777777" w:rsidR="00985206"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 xml:space="preserve">As a newly eligible employee, you are granted a period of initial eligibility (PIE) during which you may enroll yourself and your eligible family members in certain health and welfare plans. Your PIE begins on the date you become eligible for mid-level (limited) benefits and ends on the last working day of that </w:t>
      </w:r>
      <w:proofErr w:type="gramStart"/>
      <w:r>
        <w:rPr>
          <w:rFonts w:ascii="Arial" w:eastAsia="Arial" w:hAnsi="Arial" w:cs="Arial"/>
          <w:color w:val="000000"/>
          <w:sz w:val="20"/>
          <w:szCs w:val="20"/>
        </w:rPr>
        <w:t>31 day</w:t>
      </w:r>
      <w:proofErr w:type="gramEnd"/>
      <w:r>
        <w:rPr>
          <w:rFonts w:ascii="Arial" w:eastAsia="Arial" w:hAnsi="Arial" w:cs="Arial"/>
          <w:color w:val="000000"/>
          <w:sz w:val="20"/>
          <w:szCs w:val="20"/>
        </w:rPr>
        <w:t xml:space="preserve"> period. Coverage will be effective the day eligibility begins, provided the enrollment form is received in the Payroll or Benefits Office before the end of the PIE.</w:t>
      </w:r>
    </w:p>
    <w:p w14:paraId="3A2ADBEC" w14:textId="77777777" w:rsidR="00985206"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 xml:space="preserve">If you wait until after your PIE to enroll in these plans, you may have to provide a statement of health or wait for an open enrollment period. Please be aware that while some plans (e.g., medical, dental, optical services, TIP, and </w:t>
      </w:r>
      <w:proofErr w:type="spellStart"/>
      <w:r>
        <w:rPr>
          <w:rFonts w:ascii="Arial" w:eastAsia="Arial" w:hAnsi="Arial" w:cs="Arial"/>
          <w:color w:val="000000"/>
          <w:sz w:val="20"/>
          <w:szCs w:val="20"/>
        </w:rPr>
        <w:t>DepCare</w:t>
      </w:r>
      <w:proofErr w:type="spellEnd"/>
      <w:r>
        <w:rPr>
          <w:rFonts w:ascii="Arial" w:eastAsia="Arial" w:hAnsi="Arial" w:cs="Arial"/>
          <w:color w:val="000000"/>
          <w:sz w:val="20"/>
          <w:szCs w:val="20"/>
        </w:rPr>
        <w:t>) have open enrollment periods annually, other plans (e.g., life and disability insurance) do not.</w:t>
      </w:r>
    </w:p>
    <w:p w14:paraId="1943C4C7" w14:textId="77777777" w:rsidR="00985206"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As a UC employee, you are also eligible to participate in any of the retirement savings plans available through the 403(b) or DCP After-Tax plans. Ask your benefits representative or the personnel/payroll assistant in your department for brochures and other information about UC's health and welfare plans and retirement savings programs. </w:t>
      </w:r>
    </w:p>
    <w:p w14:paraId="57E0CA2D" w14:textId="77777777" w:rsidR="00985206" w:rsidRDefault="00985206">
      <w:pPr>
        <w:pBdr>
          <w:top w:val="nil"/>
          <w:left w:val="nil"/>
          <w:bottom w:val="nil"/>
          <w:right w:val="nil"/>
          <w:between w:val="nil"/>
        </w:pBdr>
        <w:spacing w:after="0" w:line="240" w:lineRule="auto"/>
        <w:rPr>
          <w:rFonts w:ascii="Arial" w:eastAsia="Arial" w:hAnsi="Arial" w:cs="Arial"/>
          <w:color w:val="000000"/>
          <w:sz w:val="20"/>
          <w:szCs w:val="20"/>
        </w:rPr>
      </w:pPr>
    </w:p>
    <w:p w14:paraId="65B90FEA" w14:textId="77777777" w:rsidR="00985206"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Department Head</w:t>
      </w:r>
    </w:p>
    <w:p w14:paraId="07A46F9C" w14:textId="77777777" w:rsidR="00985206"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cc: Benefits Office</w:t>
      </w:r>
    </w:p>
    <w:p w14:paraId="4A5A60DA" w14:textId="77777777" w:rsidR="00985206" w:rsidRDefault="00985206">
      <w:pPr>
        <w:pBdr>
          <w:top w:val="nil"/>
          <w:left w:val="nil"/>
          <w:bottom w:val="nil"/>
          <w:right w:val="nil"/>
          <w:between w:val="nil"/>
        </w:pBdr>
        <w:spacing w:after="240" w:line="240" w:lineRule="auto"/>
        <w:rPr>
          <w:rFonts w:ascii="Arial" w:eastAsia="Arial" w:hAnsi="Arial" w:cs="Arial"/>
          <w:color w:val="000000"/>
          <w:sz w:val="20"/>
          <w:szCs w:val="20"/>
        </w:rPr>
      </w:pPr>
    </w:p>
    <w:sectPr w:rsidR="00985206">
      <w:footerReference w:type="default" r:id="rId7"/>
      <w:pgSz w:w="12240" w:h="15840"/>
      <w:pgMar w:top="1800" w:right="1800" w:bottom="1152"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2BD87" w14:textId="77777777" w:rsidR="00573A16" w:rsidRDefault="00573A16">
      <w:pPr>
        <w:spacing w:after="0" w:line="240" w:lineRule="auto"/>
      </w:pPr>
      <w:r>
        <w:separator/>
      </w:r>
    </w:p>
  </w:endnote>
  <w:endnote w:type="continuationSeparator" w:id="0">
    <w:p w14:paraId="61994B35" w14:textId="77777777" w:rsidR="00573A16" w:rsidRDefault="00573A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8094209B-4201-3249-9D16-A7245DF61A57}"/>
  </w:font>
  <w:font w:name="Times New Roman">
    <w:panose1 w:val="02020603050405020304"/>
    <w:charset w:val="00"/>
    <w:family w:val="roman"/>
    <w:pitch w:val="variable"/>
    <w:sig w:usb0="E0002EFF" w:usb1="C000785B" w:usb2="00000009" w:usb3="00000000" w:csb0="000001FF" w:csb1="00000000"/>
    <w:embedRegular r:id="rId3" w:fontKey="{18A41724-4BCC-3B40-8201-9B88C5C8C205}"/>
    <w:embedBold r:id="rId4" w:fontKey="{45D7F1DC-7DD6-D647-A050-DEF788D9C934}"/>
  </w:font>
  <w:font w:name="Arial">
    <w:panose1 w:val="020B0604020202020204"/>
    <w:charset w:val="00"/>
    <w:family w:val="swiss"/>
    <w:pitch w:val="variable"/>
    <w:sig w:usb0="E0002EFF" w:usb1="C000785B" w:usb2="00000009" w:usb3="00000000" w:csb0="000001FF" w:csb1="00000000"/>
    <w:embedRegular r:id="rId5" w:fontKey="{89BE9D4B-1B75-BC4F-9E2E-1E65BE2585CA}"/>
    <w:embedBold r:id="rId6" w:fontKey="{17327C46-CEC4-C441-AB5D-63730408C55B}"/>
    <w:embedItalic r:id="rId7" w:fontKey="{11E143DE-4810-C442-90D2-45EAB1E071DD}"/>
    <w:embedBoldItalic r:id="rId8" w:fontKey="{1996D2B4-911D-DA48-85C0-2D7DE67951C0}"/>
  </w:font>
  <w:font w:name="Calibri">
    <w:panose1 w:val="020F0502020204030204"/>
    <w:charset w:val="00"/>
    <w:family w:val="swiss"/>
    <w:pitch w:val="variable"/>
    <w:sig w:usb0="E4002EFF" w:usb1="C200247B" w:usb2="00000009" w:usb3="00000000" w:csb0="000001FF" w:csb1="00000000"/>
    <w:embedRegular r:id="rId9" w:fontKey="{46ABF042-511D-5949-8CF3-3415E684C052}"/>
  </w:font>
  <w:font w:name="Cambria">
    <w:panose1 w:val="02040503050406030204"/>
    <w:charset w:val="00"/>
    <w:family w:val="roman"/>
    <w:pitch w:val="variable"/>
    <w:sig w:usb0="E00006FF" w:usb1="420024FF" w:usb2="02000000" w:usb3="00000000" w:csb0="0000019F" w:csb1="00000000"/>
    <w:embedRegular r:id="rId10" w:fontKey="{CD2575BA-1A15-EF49-921D-ABD081ED07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776E8" w14:textId="77777777" w:rsidR="00985206" w:rsidRDefault="00000000">
    <w:pPr>
      <w:pBdr>
        <w:top w:val="nil"/>
        <w:left w:val="nil"/>
        <w:bottom w:val="nil"/>
        <w:right w:val="nil"/>
        <w:between w:val="nil"/>
      </w:pBdr>
      <w:tabs>
        <w:tab w:val="center" w:pos="4680"/>
        <w:tab w:val="right" w:pos="9360"/>
      </w:tabs>
      <w:rPr>
        <w:color w:val="808080"/>
        <w:sz w:val="18"/>
        <w:szCs w:val="18"/>
      </w:rPr>
    </w:pPr>
    <w:r>
      <w:rPr>
        <w:rFonts w:ascii="Arial" w:eastAsia="Arial" w:hAnsi="Arial" w:cs="Arial"/>
        <w:color w:val="808080"/>
        <w:sz w:val="18"/>
        <w:szCs w:val="18"/>
      </w:rPr>
      <w:t>Sample Letter - Moving from Postdoctoral Benefits to Mid-Level Benefits</w:t>
    </w:r>
    <w:r>
      <w:rPr>
        <w:rFonts w:ascii="Arial" w:eastAsia="Arial" w:hAnsi="Arial" w:cs="Arial"/>
        <w:color w:val="808080"/>
        <w:sz w:val="18"/>
        <w:szCs w:val="18"/>
      </w:rPr>
      <w:tab/>
    </w:r>
    <w:r>
      <w:rPr>
        <w:rFonts w:ascii="Arial" w:eastAsia="Arial" w:hAnsi="Arial" w:cs="Arial"/>
        <w:color w:val="808080"/>
        <w:sz w:val="13"/>
        <w:szCs w:val="13"/>
      </w:rPr>
      <w:t>au25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87692" w14:textId="77777777" w:rsidR="00573A16" w:rsidRDefault="00573A16">
      <w:pPr>
        <w:spacing w:after="0" w:line="240" w:lineRule="auto"/>
      </w:pPr>
      <w:r>
        <w:separator/>
      </w:r>
    </w:p>
  </w:footnote>
  <w:footnote w:type="continuationSeparator" w:id="0">
    <w:p w14:paraId="45621765" w14:textId="77777777" w:rsidR="00573A16" w:rsidRDefault="00573A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452A5"/>
    <w:multiLevelType w:val="multilevel"/>
    <w:tmpl w:val="B650B6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7F960220"/>
    <w:multiLevelType w:val="multilevel"/>
    <w:tmpl w:val="82FC7B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484862825">
    <w:abstractNumId w:val="1"/>
  </w:num>
  <w:num w:numId="2" w16cid:durableId="1600598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206"/>
    <w:rsid w:val="00573A16"/>
    <w:rsid w:val="00985206"/>
    <w:rsid w:val="009D71A8"/>
    <w:rsid w:val="00DC2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4AB884"/>
  <w15:docId w15:val="{DD8F2982-8ED5-774E-AE53-B98A5F295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40" w:line="240" w:lineRule="auto"/>
      <w:outlineLvl w:val="0"/>
    </w:pPr>
    <w:rPr>
      <w:rFonts w:ascii="Arial" w:eastAsia="Arial" w:hAnsi="Arial" w:cs="Arial"/>
      <w:b/>
      <w:bCs/>
      <w:sz w:val="24"/>
      <w:szCs w:val="24"/>
    </w:rPr>
  </w:style>
  <w:style w:type="paragraph" w:styleId="Heading2">
    <w:name w:val="heading 2"/>
    <w:basedOn w:val="Normal"/>
    <w:next w:val="Normal"/>
    <w:uiPriority w:val="9"/>
    <w:semiHidden/>
    <w:unhideWhenUsed/>
    <w:qFormat/>
    <w:pPr>
      <w:keepNext/>
      <w:keepLines/>
      <w:spacing w:before="200" w:after="120"/>
      <w:outlineLvl w:val="1"/>
    </w:pPr>
    <w:rPr>
      <w:rFonts w:ascii="Arial" w:eastAsia="Arial" w:hAnsi="Arial" w:cs="Arial"/>
      <w:b/>
      <w:bCs/>
      <w:color w:val="F1AB00"/>
      <w:sz w:val="24"/>
      <w:szCs w:val="24"/>
    </w:rPr>
  </w:style>
  <w:style w:type="paragraph" w:styleId="Heading3">
    <w:name w:val="heading 3"/>
    <w:basedOn w:val="Normal"/>
    <w:next w:val="Normal"/>
    <w:uiPriority w:val="9"/>
    <w:semiHidden/>
    <w:unhideWhenUsed/>
    <w:qFormat/>
    <w:pPr>
      <w:keepNext/>
      <w:keepLines/>
      <w:spacing w:after="240" w:line="240" w:lineRule="auto"/>
      <w:outlineLvl w:val="2"/>
    </w:pPr>
    <w:rPr>
      <w:rFonts w:ascii="Arial" w:eastAsia="Arial" w:hAnsi="Arial" w:cs="Arial"/>
      <w:b/>
      <w:bCs/>
      <w:color w:val="7A6E67"/>
    </w:rPr>
  </w:style>
  <w:style w:type="paragraph" w:styleId="Heading4">
    <w:name w:val="heading 4"/>
    <w:basedOn w:val="Normal"/>
    <w:next w:val="Normal"/>
    <w:uiPriority w:val="9"/>
    <w:semiHidden/>
    <w:unhideWhenUsed/>
    <w:qFormat/>
    <w:pPr>
      <w:keepNext/>
      <w:keepLines/>
      <w:spacing w:before="200" w:after="120"/>
      <w:outlineLvl w:val="3"/>
    </w:pPr>
    <w:rPr>
      <w:rFonts w:ascii="Arial" w:eastAsia="Arial" w:hAnsi="Arial" w:cs="Arial"/>
      <w:b/>
      <w:bCs/>
      <w:i/>
      <w:iCs/>
      <w:color w:val="7A6E67"/>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7A6E67"/>
      </w:pBdr>
      <w:spacing w:after="120" w:line="240" w:lineRule="auto"/>
    </w:pPr>
    <w:rPr>
      <w:rFonts w:ascii="Arial" w:eastAsia="Arial" w:hAnsi="Arial" w:cs="Arial"/>
      <w:color w:val="21508F"/>
      <w:sz w:val="36"/>
      <w:szCs w:val="36"/>
    </w:rPr>
  </w:style>
  <w:style w:type="paragraph" w:styleId="Subtitle">
    <w:name w:val="Subtitle"/>
    <w:basedOn w:val="Normal"/>
    <w:next w:val="Normal"/>
    <w:uiPriority w:val="11"/>
    <w:qFormat/>
    <w:rPr>
      <w:rFonts w:ascii="Arial" w:eastAsia="Arial" w:hAnsi="Arial" w:cs="Arial"/>
      <w:i/>
      <w:iCs/>
      <w:color w:val="7A6E67"/>
      <w:sz w:val="24"/>
      <w:szCs w:val="24"/>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628</Words>
  <Characters>3582</Characters>
  <Application>Microsoft Office Word</Application>
  <DocSecurity>0</DocSecurity>
  <Lines>29</Lines>
  <Paragraphs>8</Paragraphs>
  <ScaleCrop>false</ScaleCrop>
  <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2026-04-24T16:41:00Z</dcterms:created>
  <dcterms:modified xsi:type="dcterms:W3CDTF">2026-04-24T16:41:00Z</dcterms:modified>
</cp:coreProperties>
</file>