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91645A" w14:textId="77777777" w:rsidR="005575C7" w:rsidRDefault="005575C7">
      <w:pPr>
        <w:widowControl w:val="0"/>
        <w:pBdr>
          <w:top w:val="nil"/>
          <w:left w:val="nil"/>
          <w:bottom w:val="nil"/>
          <w:right w:val="nil"/>
          <w:between w:val="nil"/>
        </w:pBdr>
        <w:spacing w:after="0"/>
        <w:rPr>
          <w:rFonts w:ascii="Arial" w:eastAsia="Arial" w:hAnsi="Arial" w:cs="Arial"/>
          <w:color w:val="000000"/>
        </w:rPr>
      </w:pPr>
    </w:p>
    <w:tbl>
      <w:tblPr>
        <w:tblStyle w:val="a"/>
        <w:tblW w:w="8856" w:type="dxa"/>
        <w:tblInd w:w="-108" w:type="dxa"/>
        <w:tblLayout w:type="fixed"/>
        <w:tblLook w:val="0000" w:firstRow="0" w:lastRow="0" w:firstColumn="0" w:lastColumn="0" w:noHBand="0" w:noVBand="0"/>
      </w:tblPr>
      <w:tblGrid>
        <w:gridCol w:w="828"/>
        <w:gridCol w:w="8028"/>
      </w:tblGrid>
      <w:tr w:rsidR="005575C7" w14:paraId="7C364165" w14:textId="77777777">
        <w:trPr>
          <w:trHeight w:val="350"/>
        </w:trPr>
        <w:tc>
          <w:tcPr>
            <w:tcW w:w="828" w:type="dxa"/>
          </w:tcPr>
          <w:p w14:paraId="06C39602" w14:textId="77777777" w:rsidR="005575C7" w:rsidRDefault="00000000">
            <w:pPr>
              <w:pBdr>
                <w:top w:val="nil"/>
                <w:left w:val="nil"/>
                <w:bottom w:val="nil"/>
                <w:right w:val="nil"/>
                <w:between w:val="nil"/>
              </w:pBdr>
              <w:spacing w:before="120" w:after="120" w:line="240" w:lineRule="auto"/>
              <w:rPr>
                <w:rFonts w:ascii="Arial" w:eastAsia="Arial" w:hAnsi="Arial" w:cs="Arial"/>
                <w:color w:val="000000"/>
                <w:sz w:val="20"/>
                <w:szCs w:val="20"/>
              </w:rPr>
            </w:pPr>
            <w:r>
              <w:rPr>
                <w:rFonts w:ascii="Arial" w:eastAsia="Arial" w:hAnsi="Arial" w:cs="Arial"/>
                <w:color w:val="000000"/>
                <w:sz w:val="20"/>
                <w:szCs w:val="20"/>
              </w:rPr>
              <w:t>Date:</w:t>
            </w:r>
          </w:p>
        </w:tc>
        <w:tc>
          <w:tcPr>
            <w:tcW w:w="8028" w:type="dxa"/>
          </w:tcPr>
          <w:p w14:paraId="185E7EE1" w14:textId="77777777" w:rsidR="005575C7" w:rsidRDefault="00000000">
            <w:pPr>
              <w:pBdr>
                <w:top w:val="nil"/>
                <w:left w:val="nil"/>
                <w:bottom w:val="nil"/>
                <w:right w:val="nil"/>
                <w:between w:val="nil"/>
              </w:pBdr>
              <w:spacing w:before="120" w:after="120" w:line="240" w:lineRule="auto"/>
              <w:rPr>
                <w:rFonts w:ascii="Arial" w:eastAsia="Arial" w:hAnsi="Arial" w:cs="Arial"/>
                <w:color w:val="000000"/>
                <w:sz w:val="20"/>
                <w:szCs w:val="20"/>
              </w:rPr>
            </w:pPr>
            <w:bookmarkStart w:id="0" w:name="zqr2j7b8lh5" w:colFirst="0" w:colLast="0"/>
            <w:bookmarkEnd w:id="0"/>
            <w:r>
              <w:rPr>
                <w:rFonts w:ascii="Arial" w:eastAsia="Arial" w:hAnsi="Arial" w:cs="Arial"/>
                <w:color w:val="000000"/>
                <w:sz w:val="20"/>
                <w:szCs w:val="20"/>
              </w:rPr>
              <w:t>[enter memo date]</w:t>
            </w:r>
          </w:p>
        </w:tc>
      </w:tr>
      <w:tr w:rsidR="005575C7" w14:paraId="0667D57A" w14:textId="77777777">
        <w:trPr>
          <w:trHeight w:val="350"/>
        </w:trPr>
        <w:tc>
          <w:tcPr>
            <w:tcW w:w="828" w:type="dxa"/>
          </w:tcPr>
          <w:p w14:paraId="4877C0B8" w14:textId="77777777" w:rsidR="005575C7" w:rsidRDefault="00000000">
            <w:pPr>
              <w:pBdr>
                <w:top w:val="nil"/>
                <w:left w:val="nil"/>
                <w:bottom w:val="nil"/>
                <w:right w:val="nil"/>
                <w:between w:val="nil"/>
              </w:pBdr>
              <w:spacing w:before="120" w:after="120" w:line="240" w:lineRule="auto"/>
              <w:rPr>
                <w:rFonts w:ascii="Arial" w:eastAsia="Arial" w:hAnsi="Arial" w:cs="Arial"/>
                <w:color w:val="000000"/>
                <w:sz w:val="20"/>
                <w:szCs w:val="20"/>
              </w:rPr>
            </w:pPr>
            <w:r>
              <w:rPr>
                <w:rFonts w:ascii="Arial" w:eastAsia="Arial" w:hAnsi="Arial" w:cs="Arial"/>
                <w:color w:val="000000"/>
                <w:sz w:val="20"/>
                <w:szCs w:val="20"/>
              </w:rPr>
              <w:t>To:</w:t>
            </w:r>
          </w:p>
        </w:tc>
        <w:tc>
          <w:tcPr>
            <w:tcW w:w="8028" w:type="dxa"/>
          </w:tcPr>
          <w:p w14:paraId="35292471" w14:textId="77777777" w:rsidR="005575C7" w:rsidRDefault="00000000">
            <w:pPr>
              <w:pBdr>
                <w:top w:val="nil"/>
                <w:left w:val="nil"/>
                <w:bottom w:val="nil"/>
                <w:right w:val="nil"/>
                <w:between w:val="nil"/>
              </w:pBdr>
              <w:spacing w:before="120" w:after="120" w:line="240" w:lineRule="auto"/>
              <w:ind w:right="630"/>
              <w:rPr>
                <w:rFonts w:ascii="Arial" w:eastAsia="Arial" w:hAnsi="Arial" w:cs="Arial"/>
                <w:color w:val="000000"/>
                <w:sz w:val="20"/>
                <w:szCs w:val="20"/>
              </w:rPr>
            </w:pPr>
            <w:r>
              <w:rPr>
                <w:rFonts w:ascii="Arial" w:eastAsia="Arial" w:hAnsi="Arial" w:cs="Arial"/>
                <w:color w:val="000000"/>
                <w:sz w:val="20"/>
                <w:szCs w:val="20"/>
              </w:rPr>
              <w:t>[enter recipient name]</w:t>
            </w:r>
          </w:p>
        </w:tc>
      </w:tr>
      <w:tr w:rsidR="005575C7" w14:paraId="142FA7FB" w14:textId="77777777">
        <w:trPr>
          <w:trHeight w:val="350"/>
        </w:trPr>
        <w:tc>
          <w:tcPr>
            <w:tcW w:w="828" w:type="dxa"/>
            <w:tcBorders>
              <w:bottom w:val="single" w:sz="4" w:space="0" w:color="000000"/>
            </w:tcBorders>
          </w:tcPr>
          <w:p w14:paraId="5875554D" w14:textId="77777777" w:rsidR="005575C7" w:rsidRDefault="00000000">
            <w:pPr>
              <w:pBdr>
                <w:top w:val="nil"/>
                <w:left w:val="nil"/>
                <w:bottom w:val="nil"/>
                <w:right w:val="nil"/>
                <w:between w:val="nil"/>
              </w:pBdr>
              <w:spacing w:before="120" w:after="120" w:line="240" w:lineRule="auto"/>
              <w:rPr>
                <w:rFonts w:ascii="Arial" w:eastAsia="Arial" w:hAnsi="Arial" w:cs="Arial"/>
                <w:color w:val="000000"/>
                <w:sz w:val="20"/>
                <w:szCs w:val="20"/>
              </w:rPr>
            </w:pPr>
            <w:r>
              <w:rPr>
                <w:rFonts w:ascii="Arial" w:eastAsia="Arial" w:hAnsi="Arial" w:cs="Arial"/>
                <w:color w:val="000000"/>
                <w:sz w:val="20"/>
                <w:szCs w:val="20"/>
              </w:rPr>
              <w:t>Re:</w:t>
            </w:r>
          </w:p>
        </w:tc>
        <w:tc>
          <w:tcPr>
            <w:tcW w:w="8028" w:type="dxa"/>
            <w:tcBorders>
              <w:bottom w:val="single" w:sz="4" w:space="0" w:color="000000"/>
            </w:tcBorders>
          </w:tcPr>
          <w:p w14:paraId="28565CB7" w14:textId="77777777" w:rsidR="005575C7" w:rsidRDefault="00000000">
            <w:pPr>
              <w:pBdr>
                <w:top w:val="nil"/>
                <w:left w:val="nil"/>
                <w:bottom w:val="nil"/>
                <w:right w:val="nil"/>
                <w:between w:val="nil"/>
              </w:pBdr>
              <w:spacing w:before="120" w:after="120" w:line="240" w:lineRule="auto"/>
              <w:rPr>
                <w:rFonts w:ascii="Arial" w:eastAsia="Arial" w:hAnsi="Arial" w:cs="Arial"/>
                <w:color w:val="000000"/>
                <w:sz w:val="20"/>
                <w:szCs w:val="20"/>
              </w:rPr>
            </w:pPr>
            <w:r>
              <w:rPr>
                <w:rFonts w:ascii="Arial" w:eastAsia="Arial" w:hAnsi="Arial" w:cs="Arial"/>
                <w:color w:val="000000"/>
                <w:sz w:val="20"/>
                <w:szCs w:val="20"/>
              </w:rPr>
              <w:t>Moving from No Benefits or CORE Benefits to Mid-Level Benefits</w:t>
            </w:r>
          </w:p>
        </w:tc>
      </w:tr>
    </w:tbl>
    <w:p w14:paraId="034C1750" w14:textId="77777777" w:rsidR="005575C7" w:rsidRDefault="005575C7">
      <w:pPr>
        <w:pBdr>
          <w:top w:val="nil"/>
          <w:left w:val="nil"/>
          <w:bottom w:val="nil"/>
          <w:right w:val="nil"/>
          <w:between w:val="nil"/>
        </w:pBdr>
        <w:spacing w:after="0" w:line="240" w:lineRule="auto"/>
        <w:rPr>
          <w:rFonts w:ascii="Arial" w:eastAsia="Arial" w:hAnsi="Arial" w:cs="Arial"/>
          <w:color w:val="000000"/>
          <w:sz w:val="20"/>
          <w:szCs w:val="20"/>
        </w:rPr>
      </w:pPr>
    </w:p>
    <w:p w14:paraId="19270459" w14:textId="77777777" w:rsidR="005575C7" w:rsidRDefault="00000000">
      <w:pPr>
        <w:keepNext/>
        <w:pBdr>
          <w:top w:val="nil"/>
          <w:left w:val="nil"/>
          <w:bottom w:val="nil"/>
          <w:right w:val="nil"/>
          <w:between w:val="nil"/>
        </w:pBdr>
        <w:spacing w:after="120" w:line="240" w:lineRule="auto"/>
        <w:rPr>
          <w:rFonts w:ascii="Arial" w:eastAsia="Arial" w:hAnsi="Arial" w:cs="Arial"/>
          <w:color w:val="000000"/>
          <w:sz w:val="20"/>
          <w:szCs w:val="20"/>
        </w:rPr>
      </w:pPr>
      <w:r>
        <w:rPr>
          <w:rFonts w:ascii="Arial" w:eastAsia="Arial" w:hAnsi="Arial" w:cs="Arial"/>
          <w:color w:val="000000"/>
          <w:sz w:val="20"/>
          <w:szCs w:val="20"/>
        </w:rPr>
        <w:t>University employees are eligible for the university's mid-level (limited) benefits package if they meet either of the following sets of criteria:</w:t>
      </w:r>
    </w:p>
    <w:p w14:paraId="08DE8B3A" w14:textId="77777777" w:rsidR="005575C7" w:rsidRDefault="00000000">
      <w:pPr>
        <w:numPr>
          <w:ilvl w:val="0"/>
          <w:numId w:val="1"/>
        </w:numPr>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color w:val="000000"/>
          <w:sz w:val="20"/>
          <w:szCs w:val="20"/>
        </w:rPr>
        <w:t xml:space="preserve">Appointed at 50% time or more for at least 12 months, average regular paid time commensurate with that appointment, </w:t>
      </w:r>
      <w:r>
        <w:rPr>
          <w:rFonts w:ascii="Arial" w:eastAsia="Arial" w:hAnsi="Arial" w:cs="Arial"/>
          <w:b/>
          <w:bCs/>
          <w:color w:val="002060"/>
          <w:sz w:val="20"/>
          <w:szCs w:val="20"/>
        </w:rPr>
        <w:t>not</w:t>
      </w:r>
      <w:r>
        <w:rPr>
          <w:rFonts w:ascii="Arial" w:eastAsia="Arial" w:hAnsi="Arial" w:cs="Arial"/>
          <w:color w:val="000000"/>
          <w:sz w:val="20"/>
          <w:szCs w:val="20"/>
        </w:rPr>
        <w:t xml:space="preserve"> a member of a defined benefit retirement plan to which the university contributes (for example, visiting appointments). </w:t>
      </w:r>
    </w:p>
    <w:p w14:paraId="5C8FDFB9" w14:textId="77777777" w:rsidR="005575C7" w:rsidRDefault="00000000">
      <w:pPr>
        <w:numPr>
          <w:ilvl w:val="0"/>
          <w:numId w:val="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Appointed at 100% time for at least three months, average regular paid time commensurate with that appointment. </w:t>
      </w:r>
    </w:p>
    <w:p w14:paraId="1686AA21" w14:textId="77777777" w:rsidR="005575C7" w:rsidRDefault="00000000">
      <w:pPr>
        <w:numPr>
          <w:ilvl w:val="0"/>
          <w:numId w:val="1"/>
        </w:numPr>
        <w:pBdr>
          <w:top w:val="nil"/>
          <w:left w:val="nil"/>
          <w:bottom w:val="nil"/>
          <w:right w:val="nil"/>
          <w:between w:val="nil"/>
        </w:pBdr>
        <w:spacing w:after="240" w:line="240" w:lineRule="auto"/>
        <w:rPr>
          <w:rFonts w:ascii="Arial" w:eastAsia="Arial" w:hAnsi="Arial" w:cs="Arial"/>
          <w:color w:val="000000"/>
          <w:sz w:val="20"/>
          <w:szCs w:val="20"/>
        </w:rPr>
      </w:pPr>
      <w:r>
        <w:rPr>
          <w:rFonts w:ascii="Arial" w:eastAsia="Arial" w:hAnsi="Arial" w:cs="Arial"/>
          <w:color w:val="000000"/>
          <w:sz w:val="20"/>
          <w:szCs w:val="20"/>
        </w:rPr>
        <w:t xml:space="preserve">Work a minimum of 17.5 hours average paid time per week. </w:t>
      </w:r>
    </w:p>
    <w:p w14:paraId="4739795F" w14:textId="77777777" w:rsidR="005575C7" w:rsidRDefault="00000000">
      <w:pPr>
        <w:pBdr>
          <w:top w:val="nil"/>
          <w:left w:val="nil"/>
          <w:bottom w:val="nil"/>
          <w:right w:val="nil"/>
          <w:between w:val="nil"/>
        </w:pBdr>
        <w:spacing w:after="240" w:line="240" w:lineRule="auto"/>
        <w:rPr>
          <w:rFonts w:ascii="Arial" w:eastAsia="Arial" w:hAnsi="Arial" w:cs="Arial"/>
          <w:color w:val="000000"/>
          <w:sz w:val="20"/>
          <w:szCs w:val="20"/>
        </w:rPr>
      </w:pPr>
      <w:r>
        <w:rPr>
          <w:rFonts w:ascii="Arial" w:eastAsia="Arial" w:hAnsi="Arial" w:cs="Arial"/>
          <w:color w:val="000000"/>
          <w:sz w:val="20"/>
          <w:szCs w:val="20"/>
        </w:rPr>
        <w:t xml:space="preserve">A change in your appointment level or work schedule has made you eligible for this benefits package as of </w:t>
      </w:r>
      <w:r>
        <w:rPr>
          <w:rFonts w:ascii="Arial" w:eastAsia="Arial" w:hAnsi="Arial" w:cs="Arial"/>
          <w:color w:val="000000"/>
          <w:sz w:val="20"/>
          <w:szCs w:val="20"/>
          <w:u w:val="single"/>
        </w:rPr>
        <w:t>[enter eligibility date]</w:t>
      </w:r>
      <w:r>
        <w:rPr>
          <w:rFonts w:ascii="Arial" w:eastAsia="Arial" w:hAnsi="Arial" w:cs="Arial"/>
          <w:color w:val="000000"/>
          <w:sz w:val="20"/>
          <w:szCs w:val="20"/>
        </w:rPr>
        <w:t>.</w:t>
      </w:r>
    </w:p>
    <w:p w14:paraId="02F212FF" w14:textId="77777777" w:rsidR="005575C7" w:rsidRDefault="00000000">
      <w:pPr>
        <w:pBdr>
          <w:top w:val="nil"/>
          <w:left w:val="nil"/>
          <w:bottom w:val="nil"/>
          <w:right w:val="nil"/>
          <w:between w:val="nil"/>
        </w:pBdr>
        <w:spacing w:after="240" w:line="240" w:lineRule="auto"/>
        <w:rPr>
          <w:rFonts w:ascii="Arial" w:eastAsia="Arial" w:hAnsi="Arial" w:cs="Arial"/>
          <w:color w:val="000000"/>
          <w:sz w:val="20"/>
          <w:szCs w:val="20"/>
        </w:rPr>
      </w:pPr>
      <w:r>
        <w:rPr>
          <w:rFonts w:ascii="Arial" w:eastAsia="Arial" w:hAnsi="Arial" w:cs="Arial"/>
          <w:color w:val="000000"/>
          <w:sz w:val="20"/>
          <w:szCs w:val="20"/>
        </w:rPr>
        <w:t>Enrollment in some of the health and welfare benefit plans for which you are now eligible is automatic. In others, enrollment is voluntary, and enrollment deadlines apply in certain cases. Enrollment forms and brochures describing each of the benefits in detail are available from the personnel/payroll assistant in your department.</w:t>
      </w:r>
    </w:p>
    <w:p w14:paraId="1BCF802E" w14:textId="77777777" w:rsidR="005575C7" w:rsidRDefault="00000000">
      <w:pPr>
        <w:pBdr>
          <w:top w:val="nil"/>
          <w:left w:val="nil"/>
          <w:bottom w:val="nil"/>
          <w:right w:val="nil"/>
          <w:between w:val="nil"/>
        </w:pBdr>
        <w:spacing w:after="240" w:line="240" w:lineRule="auto"/>
        <w:rPr>
          <w:rFonts w:ascii="Arial" w:eastAsia="Arial" w:hAnsi="Arial" w:cs="Arial"/>
          <w:color w:val="000000"/>
          <w:sz w:val="20"/>
          <w:szCs w:val="20"/>
        </w:rPr>
      </w:pPr>
      <w:r>
        <w:rPr>
          <w:rFonts w:ascii="Arial" w:eastAsia="Arial" w:hAnsi="Arial" w:cs="Arial"/>
          <w:color w:val="000000"/>
          <w:sz w:val="20"/>
          <w:szCs w:val="20"/>
        </w:rPr>
        <w:t xml:space="preserve">As a newly eligible employee, you are granted a period of initial eligibility (PIE) during which you may enroll yourself and your eligible family members in certain health and welfare plans. Your PIE begins on the date you become eligible for mid-level (limited) benefits and ends on the last working day of that </w:t>
      </w:r>
      <w:proofErr w:type="gramStart"/>
      <w:r>
        <w:rPr>
          <w:rFonts w:ascii="Arial" w:eastAsia="Arial" w:hAnsi="Arial" w:cs="Arial"/>
          <w:color w:val="000000"/>
          <w:sz w:val="20"/>
          <w:szCs w:val="20"/>
        </w:rPr>
        <w:t>31 day</w:t>
      </w:r>
      <w:proofErr w:type="gramEnd"/>
      <w:r>
        <w:rPr>
          <w:rFonts w:ascii="Arial" w:eastAsia="Arial" w:hAnsi="Arial" w:cs="Arial"/>
          <w:color w:val="000000"/>
          <w:sz w:val="20"/>
          <w:szCs w:val="20"/>
        </w:rPr>
        <w:t xml:space="preserve"> period. Coverage will be effective the day eligibility begins, provided the enrollment form is received in the Payroll or Benefits Office before the end of the PIE.</w:t>
      </w:r>
    </w:p>
    <w:p w14:paraId="02751964" w14:textId="77777777" w:rsidR="005575C7" w:rsidRDefault="00000000">
      <w:pPr>
        <w:pBdr>
          <w:top w:val="nil"/>
          <w:left w:val="nil"/>
          <w:bottom w:val="nil"/>
          <w:right w:val="nil"/>
          <w:between w:val="nil"/>
        </w:pBdr>
        <w:spacing w:after="240" w:line="240" w:lineRule="auto"/>
        <w:rPr>
          <w:rFonts w:ascii="Arial" w:eastAsia="Arial" w:hAnsi="Arial" w:cs="Arial"/>
          <w:color w:val="000000"/>
          <w:sz w:val="20"/>
          <w:szCs w:val="20"/>
        </w:rPr>
      </w:pPr>
      <w:r>
        <w:rPr>
          <w:rFonts w:ascii="Arial" w:eastAsia="Arial" w:hAnsi="Arial" w:cs="Arial"/>
          <w:color w:val="000000"/>
          <w:sz w:val="20"/>
          <w:szCs w:val="20"/>
        </w:rPr>
        <w:t xml:space="preserve">If you wait until after your PIE to enroll in these plans, you may have to provide a statement of health or wait for an open enrollment period. Please be aware that while some plans (e.g., medical, dental, optical services, TIP, and </w:t>
      </w:r>
      <w:proofErr w:type="spellStart"/>
      <w:r>
        <w:rPr>
          <w:rFonts w:ascii="Arial" w:eastAsia="Arial" w:hAnsi="Arial" w:cs="Arial"/>
          <w:color w:val="000000"/>
          <w:sz w:val="20"/>
          <w:szCs w:val="20"/>
        </w:rPr>
        <w:t>DepCare</w:t>
      </w:r>
      <w:proofErr w:type="spellEnd"/>
      <w:r>
        <w:rPr>
          <w:rFonts w:ascii="Arial" w:eastAsia="Arial" w:hAnsi="Arial" w:cs="Arial"/>
          <w:color w:val="000000"/>
          <w:sz w:val="20"/>
          <w:szCs w:val="20"/>
        </w:rPr>
        <w:t>) have open enrollment periods annually, other plans (e.g., life and disability insurance) do not.</w:t>
      </w:r>
    </w:p>
    <w:p w14:paraId="615BD00B" w14:textId="77777777" w:rsidR="005575C7" w:rsidRDefault="00000000">
      <w:pPr>
        <w:pBdr>
          <w:top w:val="nil"/>
          <w:left w:val="nil"/>
          <w:bottom w:val="nil"/>
          <w:right w:val="nil"/>
          <w:between w:val="nil"/>
        </w:pBdr>
        <w:spacing w:after="240" w:line="240" w:lineRule="auto"/>
        <w:rPr>
          <w:rFonts w:ascii="Arial" w:eastAsia="Arial" w:hAnsi="Arial" w:cs="Arial"/>
          <w:color w:val="000000"/>
          <w:sz w:val="20"/>
          <w:szCs w:val="20"/>
        </w:rPr>
      </w:pPr>
      <w:r>
        <w:rPr>
          <w:rFonts w:ascii="Arial" w:eastAsia="Arial" w:hAnsi="Arial" w:cs="Arial"/>
          <w:color w:val="000000"/>
          <w:sz w:val="20"/>
          <w:szCs w:val="20"/>
        </w:rPr>
        <w:t xml:space="preserve">If you are moving from CORE benefits eligibility to mid-level (limited) benefits eligibility, you are granted a PIE during which you can replace your CORE major medical plan with another UC medical plan.  </w:t>
      </w:r>
    </w:p>
    <w:p w14:paraId="1A49111D" w14:textId="77777777" w:rsidR="005575C7" w:rsidRDefault="00000000">
      <w:pPr>
        <w:pBdr>
          <w:top w:val="nil"/>
          <w:left w:val="nil"/>
          <w:bottom w:val="nil"/>
          <w:right w:val="nil"/>
          <w:between w:val="nil"/>
        </w:pBdr>
        <w:spacing w:after="240" w:line="240" w:lineRule="auto"/>
        <w:rPr>
          <w:rFonts w:ascii="Arial" w:eastAsia="Arial" w:hAnsi="Arial" w:cs="Arial"/>
          <w:color w:val="000000"/>
          <w:sz w:val="20"/>
          <w:szCs w:val="20"/>
        </w:rPr>
      </w:pPr>
      <w:r>
        <w:rPr>
          <w:rFonts w:ascii="Arial" w:eastAsia="Arial" w:hAnsi="Arial" w:cs="Arial"/>
          <w:color w:val="000000"/>
          <w:sz w:val="20"/>
          <w:szCs w:val="20"/>
        </w:rPr>
        <w:t xml:space="preserve">As a UC employee, you are also eligible to participate in any of the retirement savings plans available through the 403(b) or DCP After-Tax plans. Ask your benefits representative or the personnel/payroll assistant in your department for brochures and other information about UC's health and welfare plans and retirement savings programs. </w:t>
      </w:r>
    </w:p>
    <w:p w14:paraId="00224B39" w14:textId="77777777" w:rsidR="005575C7" w:rsidRDefault="00000000">
      <w:pPr>
        <w:pBdr>
          <w:top w:val="nil"/>
          <w:left w:val="nil"/>
          <w:bottom w:val="nil"/>
          <w:right w:val="nil"/>
          <w:between w:val="nil"/>
        </w:pBdr>
        <w:spacing w:after="240" w:line="240" w:lineRule="auto"/>
        <w:rPr>
          <w:rFonts w:ascii="Arial" w:eastAsia="Arial" w:hAnsi="Arial" w:cs="Arial"/>
          <w:color w:val="000000"/>
          <w:sz w:val="20"/>
          <w:szCs w:val="20"/>
        </w:rPr>
      </w:pPr>
      <w:r>
        <w:rPr>
          <w:rFonts w:ascii="Arial" w:eastAsia="Arial" w:hAnsi="Arial" w:cs="Arial"/>
          <w:color w:val="000000"/>
          <w:sz w:val="20"/>
          <w:szCs w:val="20"/>
        </w:rPr>
        <w:t>Department Head</w:t>
      </w:r>
    </w:p>
    <w:p w14:paraId="3EAC7A56" w14:textId="77777777" w:rsidR="005575C7" w:rsidRDefault="00000000">
      <w:pPr>
        <w:pBdr>
          <w:top w:val="nil"/>
          <w:left w:val="nil"/>
          <w:bottom w:val="nil"/>
          <w:right w:val="nil"/>
          <w:between w:val="nil"/>
        </w:pBdr>
        <w:spacing w:after="240" w:line="240" w:lineRule="auto"/>
        <w:rPr>
          <w:rFonts w:ascii="Arial" w:eastAsia="Arial" w:hAnsi="Arial" w:cs="Arial"/>
          <w:color w:val="000000"/>
          <w:sz w:val="20"/>
          <w:szCs w:val="20"/>
        </w:rPr>
      </w:pPr>
      <w:r>
        <w:rPr>
          <w:rFonts w:ascii="Arial" w:eastAsia="Arial" w:hAnsi="Arial" w:cs="Arial"/>
          <w:color w:val="000000"/>
          <w:sz w:val="20"/>
          <w:szCs w:val="20"/>
        </w:rPr>
        <w:t>cc: Benefits Office</w:t>
      </w:r>
    </w:p>
    <w:sectPr w:rsidR="005575C7">
      <w:footerReference w:type="default" r:id="rId7"/>
      <w:pgSz w:w="12240" w:h="15840"/>
      <w:pgMar w:top="1800" w:right="1800" w:bottom="806"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82F5C6" w14:textId="77777777" w:rsidR="00F11485" w:rsidRDefault="00F11485">
      <w:pPr>
        <w:spacing w:after="0" w:line="240" w:lineRule="auto"/>
      </w:pPr>
      <w:r>
        <w:separator/>
      </w:r>
    </w:p>
  </w:endnote>
  <w:endnote w:type="continuationSeparator" w:id="0">
    <w:p w14:paraId="7B88F1A2" w14:textId="77777777" w:rsidR="00F11485" w:rsidRDefault="00F114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CBAA9E8-CB15-B343-89F0-DA283BE0FBA3}"/>
    <w:embedBold r:id="rId2" w:fontKey="{295C7FCC-3A92-3F4A-941D-F433C3AF2060}"/>
  </w:font>
  <w:font w:name="Arial">
    <w:panose1 w:val="020B0604020202020204"/>
    <w:charset w:val="00"/>
    <w:family w:val="swiss"/>
    <w:pitch w:val="variable"/>
    <w:sig w:usb0="E0002EFF" w:usb1="C000785B" w:usb2="00000009" w:usb3="00000000" w:csb0="000001FF" w:csb1="00000000"/>
    <w:embedRegular r:id="rId3" w:fontKey="{FB533F1B-3057-9646-8F67-E16A32BBBB7C}"/>
    <w:embedBold r:id="rId4" w:fontKey="{EDA1433E-8DEB-FC41-AE95-C48020643A25}"/>
    <w:embedItalic r:id="rId5" w:fontKey="{A3033052-F2A2-3146-B263-25C8A877414F}"/>
    <w:embedBoldItalic r:id="rId6" w:fontKey="{6FF36762-DCD0-6545-BAAD-F98A742A9495}"/>
  </w:font>
  <w:font w:name="Calibri">
    <w:panose1 w:val="020F0502020204030204"/>
    <w:charset w:val="00"/>
    <w:family w:val="swiss"/>
    <w:pitch w:val="variable"/>
    <w:sig w:usb0="E4002EFF" w:usb1="C200247B" w:usb2="00000009" w:usb3="00000000" w:csb0="000001FF" w:csb1="00000000"/>
    <w:embedRegular r:id="rId7" w:fontKey="{8ACC09FB-F5CE-2B41-AFAB-ED55B79744EB}"/>
  </w:font>
  <w:font w:name="Cambria">
    <w:panose1 w:val="02040503050406030204"/>
    <w:charset w:val="00"/>
    <w:family w:val="roman"/>
    <w:pitch w:val="variable"/>
    <w:sig w:usb0="E00006FF" w:usb1="420024FF" w:usb2="02000000" w:usb3="00000000" w:csb0="0000019F" w:csb1="00000000"/>
    <w:embedRegular r:id="rId8" w:fontKey="{CBB7CC95-FC23-E245-A744-5A4C4F1B41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B0FFC" w14:textId="77777777" w:rsidR="005575C7" w:rsidRDefault="00000000">
    <w:pPr>
      <w:pBdr>
        <w:top w:val="nil"/>
        <w:left w:val="nil"/>
        <w:bottom w:val="nil"/>
        <w:right w:val="nil"/>
        <w:between w:val="nil"/>
      </w:pBdr>
      <w:tabs>
        <w:tab w:val="center" w:pos="4680"/>
        <w:tab w:val="right" w:pos="9360"/>
      </w:tabs>
      <w:rPr>
        <w:rFonts w:ascii="Arial" w:eastAsia="Arial" w:hAnsi="Arial" w:cs="Arial"/>
        <w:color w:val="808080"/>
        <w:sz w:val="18"/>
        <w:szCs w:val="18"/>
      </w:rPr>
    </w:pPr>
    <w:r>
      <w:rPr>
        <w:rFonts w:ascii="Arial" w:eastAsia="Arial" w:hAnsi="Arial" w:cs="Arial"/>
        <w:color w:val="808080"/>
        <w:sz w:val="18"/>
        <w:szCs w:val="18"/>
      </w:rPr>
      <w:t>Sample Letter - Moving from No Benefits or CORE Benefits to Mid-Level Benefits</w:t>
    </w:r>
    <w:r>
      <w:rPr>
        <w:rFonts w:ascii="Arial" w:eastAsia="Arial" w:hAnsi="Arial" w:cs="Arial"/>
        <w:color w:val="808080"/>
        <w:sz w:val="18"/>
        <w:szCs w:val="18"/>
      </w:rPr>
      <w:tab/>
    </w:r>
    <w:r>
      <w:rPr>
        <w:rFonts w:ascii="Arial" w:eastAsia="Arial" w:hAnsi="Arial" w:cs="Arial"/>
        <w:color w:val="808080"/>
        <w:sz w:val="13"/>
        <w:szCs w:val="13"/>
      </w:rPr>
      <w:t>au25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01D54F" w14:textId="77777777" w:rsidR="00F11485" w:rsidRDefault="00F11485">
      <w:pPr>
        <w:spacing w:after="0" w:line="240" w:lineRule="auto"/>
      </w:pPr>
      <w:r>
        <w:separator/>
      </w:r>
    </w:p>
  </w:footnote>
  <w:footnote w:type="continuationSeparator" w:id="0">
    <w:p w14:paraId="6AEFBE94" w14:textId="77777777" w:rsidR="00F11485" w:rsidRDefault="00F114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DF3346"/>
    <w:multiLevelType w:val="multilevel"/>
    <w:tmpl w:val="9078ED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809658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5C7"/>
    <w:rsid w:val="005575C7"/>
    <w:rsid w:val="009D71A8"/>
    <w:rsid w:val="00EF44DC"/>
    <w:rsid w:val="00F114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9DE8D10"/>
  <w15:docId w15:val="{DD8F2982-8ED5-774E-AE53-B98A5F295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240"/>
      <w:outlineLvl w:val="0"/>
    </w:pPr>
    <w:rPr>
      <w:rFonts w:ascii="Arial" w:eastAsia="Arial" w:hAnsi="Arial" w:cs="Arial"/>
      <w:b/>
      <w:bCs/>
      <w:color w:val="2D6CC0"/>
      <w:sz w:val="28"/>
      <w:szCs w:val="28"/>
    </w:rPr>
  </w:style>
  <w:style w:type="paragraph" w:styleId="Heading2">
    <w:name w:val="heading 2"/>
    <w:basedOn w:val="Normal"/>
    <w:next w:val="Normal"/>
    <w:uiPriority w:val="9"/>
    <w:semiHidden/>
    <w:unhideWhenUsed/>
    <w:qFormat/>
    <w:pPr>
      <w:keepNext/>
      <w:keepLines/>
      <w:spacing w:before="200" w:after="120"/>
      <w:outlineLvl w:val="1"/>
    </w:pPr>
    <w:rPr>
      <w:rFonts w:ascii="Arial" w:eastAsia="Arial" w:hAnsi="Arial" w:cs="Arial"/>
      <w:b/>
      <w:bCs/>
      <w:color w:val="F1AB00"/>
      <w:sz w:val="24"/>
      <w:szCs w:val="24"/>
    </w:rPr>
  </w:style>
  <w:style w:type="paragraph" w:styleId="Heading3">
    <w:name w:val="heading 3"/>
    <w:basedOn w:val="Normal"/>
    <w:next w:val="Normal"/>
    <w:uiPriority w:val="9"/>
    <w:semiHidden/>
    <w:unhideWhenUsed/>
    <w:qFormat/>
    <w:pPr>
      <w:keepNext/>
      <w:keepLines/>
      <w:spacing w:after="240" w:line="240" w:lineRule="auto"/>
      <w:outlineLvl w:val="2"/>
    </w:pPr>
    <w:rPr>
      <w:rFonts w:ascii="Arial" w:eastAsia="Arial" w:hAnsi="Arial" w:cs="Arial"/>
      <w:b/>
      <w:bCs/>
      <w:color w:val="7A6E67"/>
    </w:rPr>
  </w:style>
  <w:style w:type="paragraph" w:styleId="Heading4">
    <w:name w:val="heading 4"/>
    <w:basedOn w:val="Normal"/>
    <w:next w:val="Normal"/>
    <w:uiPriority w:val="9"/>
    <w:semiHidden/>
    <w:unhideWhenUsed/>
    <w:qFormat/>
    <w:pPr>
      <w:keepNext/>
      <w:keepLines/>
      <w:spacing w:before="200" w:after="120"/>
      <w:outlineLvl w:val="3"/>
    </w:pPr>
    <w:rPr>
      <w:rFonts w:ascii="Arial" w:eastAsia="Arial" w:hAnsi="Arial" w:cs="Arial"/>
      <w:b/>
      <w:bCs/>
      <w:i/>
      <w:iCs/>
      <w:color w:val="7A6E67"/>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7A6E67"/>
      </w:pBdr>
      <w:spacing w:after="120" w:line="240" w:lineRule="auto"/>
    </w:pPr>
    <w:rPr>
      <w:rFonts w:ascii="Arial" w:eastAsia="Arial" w:hAnsi="Arial" w:cs="Arial"/>
      <w:color w:val="21508F"/>
      <w:sz w:val="36"/>
      <w:szCs w:val="36"/>
    </w:rPr>
  </w:style>
  <w:style w:type="paragraph" w:styleId="Subtitle">
    <w:name w:val="Subtitle"/>
    <w:basedOn w:val="Normal"/>
    <w:next w:val="Normal"/>
    <w:uiPriority w:val="11"/>
    <w:qFormat/>
    <w:rPr>
      <w:rFonts w:ascii="Arial" w:eastAsia="Arial" w:hAnsi="Arial" w:cs="Arial"/>
      <w:i/>
      <w:iCs/>
      <w:color w:val="7A6E67"/>
      <w:sz w:val="24"/>
      <w:szCs w:val="24"/>
    </w:rPr>
  </w:style>
  <w:style w:type="table" w:customStyle="1" w:styleId="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381</Words>
  <Characters>2172</Characters>
  <Application>Microsoft Office Word</Application>
  <DocSecurity>0</DocSecurity>
  <Lines>18</Lines>
  <Paragraphs>5</Paragraphs>
  <ScaleCrop>false</ScaleCrop>
  <Company/>
  <LinksUpToDate>false</LinksUpToDate>
  <CharactersWithSpaces>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Jorge Sanchez</cp:lastModifiedBy>
  <cp:revision>2</cp:revision>
  <dcterms:created xsi:type="dcterms:W3CDTF">2026-04-24T17:15:00Z</dcterms:created>
  <dcterms:modified xsi:type="dcterms:W3CDTF">2026-04-24T17:15:00Z</dcterms:modified>
</cp:coreProperties>
</file>