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0C42" w14:textId="77777777" w:rsidR="00CC0744" w:rsidRDefault="00CC0744">
      <w:pPr>
        <w:widowControl w:val="0"/>
        <w:pBdr>
          <w:top w:val="nil"/>
          <w:left w:val="nil"/>
          <w:bottom w:val="nil"/>
          <w:right w:val="nil"/>
          <w:between w:val="nil"/>
        </w:pBdr>
        <w:spacing w:after="0"/>
        <w:rPr>
          <w:rFonts w:ascii="Arial" w:eastAsia="Arial" w:hAnsi="Arial" w:cs="Arial"/>
          <w:color w:val="000000"/>
        </w:rPr>
      </w:pPr>
    </w:p>
    <w:tbl>
      <w:tblPr>
        <w:tblStyle w:val="a"/>
        <w:tblW w:w="8856" w:type="dxa"/>
        <w:tblInd w:w="-108" w:type="dxa"/>
        <w:tblLayout w:type="fixed"/>
        <w:tblLook w:val="0000" w:firstRow="0" w:lastRow="0" w:firstColumn="0" w:lastColumn="0" w:noHBand="0" w:noVBand="0"/>
      </w:tblPr>
      <w:tblGrid>
        <w:gridCol w:w="828"/>
        <w:gridCol w:w="8028"/>
      </w:tblGrid>
      <w:tr w:rsidR="00CC0744" w14:paraId="37F1DEE8" w14:textId="77777777">
        <w:trPr>
          <w:trHeight w:val="350"/>
        </w:trPr>
        <w:tc>
          <w:tcPr>
            <w:tcW w:w="828" w:type="dxa"/>
          </w:tcPr>
          <w:p w14:paraId="1DAF2E6C" w14:textId="77777777" w:rsidR="00CC074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Date:</w:t>
            </w:r>
          </w:p>
        </w:tc>
        <w:tc>
          <w:tcPr>
            <w:tcW w:w="8028" w:type="dxa"/>
          </w:tcPr>
          <w:p w14:paraId="6494B508" w14:textId="77777777" w:rsidR="00CC074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bookmarkStart w:id="0" w:name="r35vatasf5nr" w:colFirst="0" w:colLast="0"/>
            <w:bookmarkEnd w:id="0"/>
            <w:r>
              <w:rPr>
                <w:rFonts w:ascii="Arial" w:eastAsia="Arial" w:hAnsi="Arial" w:cs="Arial"/>
                <w:color w:val="000000"/>
                <w:sz w:val="20"/>
                <w:szCs w:val="20"/>
              </w:rPr>
              <w:t>[enter memo date]</w:t>
            </w:r>
          </w:p>
        </w:tc>
      </w:tr>
      <w:tr w:rsidR="00CC0744" w14:paraId="525436C3" w14:textId="77777777">
        <w:trPr>
          <w:trHeight w:val="350"/>
        </w:trPr>
        <w:tc>
          <w:tcPr>
            <w:tcW w:w="828" w:type="dxa"/>
          </w:tcPr>
          <w:p w14:paraId="55012C71" w14:textId="77777777" w:rsidR="00CC074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To:</w:t>
            </w:r>
          </w:p>
        </w:tc>
        <w:tc>
          <w:tcPr>
            <w:tcW w:w="8028" w:type="dxa"/>
          </w:tcPr>
          <w:p w14:paraId="2912D3CD" w14:textId="77777777" w:rsidR="00CC0744" w:rsidRDefault="00000000">
            <w:pPr>
              <w:pBdr>
                <w:top w:val="nil"/>
                <w:left w:val="nil"/>
                <w:bottom w:val="nil"/>
                <w:right w:val="nil"/>
                <w:between w:val="nil"/>
              </w:pBdr>
              <w:spacing w:before="120" w:after="120" w:line="240" w:lineRule="auto"/>
              <w:ind w:right="630"/>
              <w:rPr>
                <w:rFonts w:ascii="Arial" w:eastAsia="Arial" w:hAnsi="Arial" w:cs="Arial"/>
                <w:color w:val="000000"/>
                <w:sz w:val="20"/>
                <w:szCs w:val="20"/>
              </w:rPr>
            </w:pPr>
            <w:r>
              <w:rPr>
                <w:rFonts w:ascii="Arial" w:eastAsia="Arial" w:hAnsi="Arial" w:cs="Arial"/>
                <w:color w:val="000000"/>
                <w:sz w:val="20"/>
                <w:szCs w:val="20"/>
              </w:rPr>
              <w:t>[enter recipient name]</w:t>
            </w:r>
          </w:p>
        </w:tc>
      </w:tr>
      <w:tr w:rsidR="00CC0744" w14:paraId="4B663345" w14:textId="77777777">
        <w:trPr>
          <w:trHeight w:val="350"/>
        </w:trPr>
        <w:tc>
          <w:tcPr>
            <w:tcW w:w="828" w:type="dxa"/>
            <w:tcBorders>
              <w:bottom w:val="single" w:sz="4" w:space="0" w:color="000000"/>
            </w:tcBorders>
          </w:tcPr>
          <w:p w14:paraId="03C5C823" w14:textId="77777777" w:rsidR="00CC074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Re:</w:t>
            </w:r>
          </w:p>
        </w:tc>
        <w:tc>
          <w:tcPr>
            <w:tcW w:w="8028" w:type="dxa"/>
            <w:tcBorders>
              <w:bottom w:val="single" w:sz="4" w:space="0" w:color="000000"/>
            </w:tcBorders>
          </w:tcPr>
          <w:p w14:paraId="559B8C67" w14:textId="77777777" w:rsidR="00CC0744" w:rsidRDefault="00000000">
            <w:pPr>
              <w:pBdr>
                <w:top w:val="nil"/>
                <w:left w:val="nil"/>
                <w:bottom w:val="nil"/>
                <w:right w:val="nil"/>
                <w:between w:val="nil"/>
              </w:pBdr>
              <w:spacing w:before="120" w:after="120" w:line="240" w:lineRule="auto"/>
              <w:rPr>
                <w:rFonts w:ascii="Arial" w:eastAsia="Arial" w:hAnsi="Arial" w:cs="Arial"/>
                <w:color w:val="000000"/>
                <w:sz w:val="20"/>
                <w:szCs w:val="20"/>
              </w:rPr>
            </w:pPr>
            <w:r>
              <w:rPr>
                <w:rFonts w:ascii="Arial" w:eastAsia="Arial" w:hAnsi="Arial" w:cs="Arial"/>
                <w:color w:val="000000"/>
                <w:sz w:val="20"/>
                <w:szCs w:val="20"/>
              </w:rPr>
              <w:t>Moving from No Benefits or CORE Benefits to Full Benefits</w:t>
            </w:r>
          </w:p>
        </w:tc>
      </w:tr>
    </w:tbl>
    <w:p w14:paraId="2AC9AE77" w14:textId="77777777" w:rsidR="00CC0744" w:rsidRDefault="00CC0744">
      <w:pPr>
        <w:pBdr>
          <w:top w:val="nil"/>
          <w:left w:val="nil"/>
          <w:bottom w:val="nil"/>
          <w:right w:val="nil"/>
          <w:between w:val="nil"/>
        </w:pBdr>
        <w:spacing w:after="0" w:line="240" w:lineRule="auto"/>
        <w:rPr>
          <w:rFonts w:ascii="Arial" w:eastAsia="Arial" w:hAnsi="Arial" w:cs="Arial"/>
          <w:color w:val="000000"/>
          <w:sz w:val="20"/>
          <w:szCs w:val="20"/>
        </w:rPr>
      </w:pPr>
    </w:p>
    <w:p w14:paraId="1636E140" w14:textId="5C66E279"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University employees are eligible for the university's full (career) benefits package if their appointment is at 50% time or more for at least one year or they work 1,000 hours in a rolling </w:t>
      </w:r>
      <w:r w:rsidR="00766B70">
        <w:rPr>
          <w:rFonts w:ascii="Arial" w:eastAsia="Arial" w:hAnsi="Arial" w:cs="Arial"/>
          <w:color w:val="000000"/>
          <w:sz w:val="20"/>
          <w:szCs w:val="20"/>
        </w:rPr>
        <w:t>12-month</w:t>
      </w:r>
      <w:r>
        <w:rPr>
          <w:rFonts w:ascii="Arial" w:eastAsia="Arial" w:hAnsi="Arial" w:cs="Arial"/>
          <w:color w:val="000000"/>
          <w:sz w:val="20"/>
          <w:szCs w:val="20"/>
        </w:rPr>
        <w:t xml:space="preserve"> period and their average regular paid time is a minimum of 17.5 hours per week. A change in your appointment level or work schedule has made you eligible for this valuable benefits package as of </w:t>
      </w:r>
      <w:r>
        <w:rPr>
          <w:rFonts w:ascii="Arial" w:eastAsia="Arial" w:hAnsi="Arial" w:cs="Arial"/>
          <w:color w:val="000000"/>
          <w:sz w:val="20"/>
          <w:szCs w:val="20"/>
          <w:u w:val="single"/>
        </w:rPr>
        <w:t>[enter eligibility date]</w:t>
      </w:r>
      <w:r>
        <w:rPr>
          <w:rFonts w:ascii="Arial" w:eastAsia="Arial" w:hAnsi="Arial" w:cs="Arial"/>
          <w:color w:val="000000"/>
          <w:sz w:val="20"/>
          <w:szCs w:val="20"/>
        </w:rPr>
        <w:t xml:space="preserve"> </w:t>
      </w:r>
      <w:r>
        <w:rPr>
          <w:rFonts w:ascii="Arial" w:eastAsia="Arial" w:hAnsi="Arial" w:cs="Arial"/>
          <w:b/>
          <w:bCs/>
          <w:color w:val="000000"/>
          <w:sz w:val="20"/>
          <w:szCs w:val="20"/>
        </w:rPr>
        <w:t>or</w:t>
      </w:r>
      <w:r>
        <w:rPr>
          <w:rFonts w:ascii="Arial" w:eastAsia="Arial" w:hAnsi="Arial" w:cs="Arial"/>
          <w:color w:val="000000"/>
          <w:sz w:val="20"/>
          <w:szCs w:val="20"/>
        </w:rPr>
        <w:t xml:space="preserve"> </w:t>
      </w:r>
      <w:bookmarkStart w:id="1" w:name="sxsa4veliy03" w:colFirst="0" w:colLast="0"/>
      <w:bookmarkEnd w:id="1"/>
      <w:r>
        <w:rPr>
          <w:rFonts w:ascii="Arial" w:eastAsia="Arial" w:hAnsi="Arial" w:cs="Arial"/>
          <w:color w:val="000000"/>
          <w:sz w:val="20"/>
          <w:szCs w:val="20"/>
          <w:u w:val="single"/>
        </w:rPr>
        <w:t>[the position you have accepted makes you eligible]</w:t>
      </w:r>
      <w:r>
        <w:rPr>
          <w:rFonts w:ascii="Arial" w:eastAsia="Arial" w:hAnsi="Arial" w:cs="Arial"/>
          <w:color w:val="000000"/>
          <w:sz w:val="20"/>
          <w:szCs w:val="20"/>
        </w:rPr>
        <w:t>.</w:t>
      </w:r>
    </w:p>
    <w:p w14:paraId="526C1BCE" w14:textId="77777777" w:rsidR="00CC0744" w:rsidRDefault="00000000">
      <w:pPr>
        <w:pStyle w:val="Heading1"/>
        <w:pBdr>
          <w:top w:val="nil"/>
          <w:left w:val="nil"/>
          <w:bottom w:val="nil"/>
          <w:right w:val="nil"/>
          <w:between w:val="nil"/>
        </w:pBdr>
        <w:rPr>
          <w:color w:val="000000"/>
          <w:sz w:val="24"/>
          <w:szCs w:val="24"/>
        </w:rPr>
      </w:pPr>
      <w:bookmarkStart w:id="2" w:name="_a19yzp4d2jiu" w:colFirst="0" w:colLast="0"/>
      <w:bookmarkEnd w:id="2"/>
      <w:r>
        <w:rPr>
          <w:color w:val="000000"/>
          <w:sz w:val="24"/>
          <w:szCs w:val="24"/>
        </w:rPr>
        <w:t>Health and Welfare Benefits</w:t>
      </w:r>
    </w:p>
    <w:p w14:paraId="18739996"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Enrollment in some of the health and welfare benefit plans for which you are now eligible is automatic. In others, enrollment is voluntary, and enrollment deadlines apply in certain cases. Enrollment forms and brochures describing each of the benefits in detail are available from your department personnel/payroll assistant.</w:t>
      </w:r>
    </w:p>
    <w:p w14:paraId="25D7CA9D" w14:textId="63D4CBCB"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As a newly eligible employee, you are granted a period of initial eligibility (PIE) during which you may enroll yourself and your eligible family members in certain health and welfare plans. Your PIE begins on the date you become eligible for full (career) benefits and ends on the last working day of that </w:t>
      </w:r>
      <w:r w:rsidR="00766B70">
        <w:rPr>
          <w:rFonts w:ascii="Arial" w:eastAsia="Arial" w:hAnsi="Arial" w:cs="Arial"/>
          <w:color w:val="000000"/>
          <w:sz w:val="20"/>
          <w:szCs w:val="20"/>
        </w:rPr>
        <w:t>31-day</w:t>
      </w:r>
      <w:r>
        <w:rPr>
          <w:rFonts w:ascii="Arial" w:eastAsia="Arial" w:hAnsi="Arial" w:cs="Arial"/>
          <w:color w:val="000000"/>
          <w:sz w:val="20"/>
          <w:szCs w:val="20"/>
        </w:rPr>
        <w:t xml:space="preserve"> period. Coverage will be effective the day eligibility begins, provided the enrollment form is received in the Payroll or Benefits Office before the end of the PIE.</w:t>
      </w:r>
    </w:p>
    <w:p w14:paraId="6284A893"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If you wait until after your PIE to enroll, you may have to provide a statement of health or wait for an open enrollment period. Please be aware that while some plans (e.g., medical, dental, optical services, TIP, and </w:t>
      </w:r>
      <w:proofErr w:type="spellStart"/>
      <w:r>
        <w:rPr>
          <w:rFonts w:ascii="Arial" w:eastAsia="Arial" w:hAnsi="Arial" w:cs="Arial"/>
          <w:color w:val="000000"/>
          <w:sz w:val="20"/>
          <w:szCs w:val="20"/>
        </w:rPr>
        <w:t>DepCare</w:t>
      </w:r>
      <w:proofErr w:type="spellEnd"/>
      <w:r>
        <w:rPr>
          <w:rFonts w:ascii="Arial" w:eastAsia="Arial" w:hAnsi="Arial" w:cs="Arial"/>
          <w:color w:val="000000"/>
          <w:sz w:val="20"/>
          <w:szCs w:val="20"/>
        </w:rPr>
        <w:t>) have open enrollment periods annually, other plans (e.g., life and disability insurance) do not.</w:t>
      </w:r>
    </w:p>
    <w:p w14:paraId="1643EA71" w14:textId="77777777" w:rsidR="00CC0744" w:rsidRDefault="00000000">
      <w:pPr>
        <w:pStyle w:val="Heading1"/>
        <w:rPr>
          <w:sz w:val="24"/>
          <w:szCs w:val="24"/>
        </w:rPr>
      </w:pPr>
      <w:bookmarkStart w:id="3" w:name="_vowah1su9090" w:colFirst="0" w:colLast="0"/>
      <w:bookmarkEnd w:id="3"/>
      <w:r>
        <w:rPr>
          <w:sz w:val="24"/>
          <w:szCs w:val="24"/>
        </w:rPr>
        <w:t>Retirement and Savings Programs</w:t>
      </w:r>
    </w:p>
    <w:p w14:paraId="4685BF20"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As an employee with full (career) benefits, you automatically become a participant in the university's retirement plan, which provides retirement, survivor, and disability income, as well as lump sum death benefits. You become fully eligible for retirement benefits after five years of accumulated service credit at UC. When you retire, your benefit is based on your age, your salary history, and your years of eligible service.</w:t>
      </w:r>
    </w:p>
    <w:p w14:paraId="140212CF"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In addition, you can supplement your retirement plan by enrolling at any time in the voluntary 403(b) or DCP After-Tax plans. Ask the personnel/payroll assistant in your department for detailed information.</w:t>
      </w:r>
    </w:p>
    <w:p w14:paraId="2E983D0F" w14:textId="77777777" w:rsidR="00CC0744"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Your benefits representative will be glad to answer any questions you might have about UC's health and welfare plans and retirement and savings programs.</w:t>
      </w:r>
    </w:p>
    <w:p w14:paraId="216B2239" w14:textId="77777777" w:rsidR="00CC0744" w:rsidRDefault="00CC0744">
      <w:pPr>
        <w:pBdr>
          <w:top w:val="nil"/>
          <w:left w:val="nil"/>
          <w:bottom w:val="nil"/>
          <w:right w:val="nil"/>
          <w:between w:val="nil"/>
        </w:pBdr>
        <w:spacing w:after="0" w:line="240" w:lineRule="auto"/>
        <w:rPr>
          <w:rFonts w:ascii="Arial" w:eastAsia="Arial" w:hAnsi="Arial" w:cs="Arial"/>
          <w:color w:val="000000"/>
          <w:sz w:val="20"/>
          <w:szCs w:val="20"/>
        </w:rPr>
      </w:pPr>
    </w:p>
    <w:p w14:paraId="260C99E8"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Department Head </w:t>
      </w:r>
    </w:p>
    <w:p w14:paraId="4C7931C5" w14:textId="77777777" w:rsidR="00CC0744" w:rsidRDefault="00000000">
      <w:p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cc: Benefits Office</w:t>
      </w:r>
    </w:p>
    <w:sectPr w:rsidR="00CC0744">
      <w:footerReference w:type="default" r:id="rId6"/>
      <w:pgSz w:w="12240" w:h="15840"/>
      <w:pgMar w:top="1800" w:right="1800" w:bottom="1152"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1BBD9" w14:textId="77777777" w:rsidR="0066491D" w:rsidRDefault="0066491D">
      <w:pPr>
        <w:spacing w:after="0" w:line="240" w:lineRule="auto"/>
      </w:pPr>
      <w:r>
        <w:separator/>
      </w:r>
    </w:p>
  </w:endnote>
  <w:endnote w:type="continuationSeparator" w:id="0">
    <w:p w14:paraId="34A80841" w14:textId="77777777" w:rsidR="0066491D" w:rsidRDefault="00664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638E80-C0AC-534D-8087-1C3C40FFE784}"/>
    <w:embedBold r:id="rId2" w:fontKey="{818388E7-D4B9-5241-ADD9-E07D9B114D72}"/>
  </w:font>
  <w:font w:name="Arial">
    <w:panose1 w:val="020B0604020202020204"/>
    <w:charset w:val="00"/>
    <w:family w:val="swiss"/>
    <w:pitch w:val="variable"/>
    <w:sig w:usb0="E0002EFF" w:usb1="C000785B" w:usb2="00000009" w:usb3="00000000" w:csb0="000001FF" w:csb1="00000000"/>
    <w:embedRegular r:id="rId3" w:fontKey="{DBF44D6A-513F-BE45-86DA-921B49CADD8A}"/>
    <w:embedBold r:id="rId4" w:fontKey="{3EDFAA50-DA68-6143-AD9E-1045F0042A15}"/>
    <w:embedItalic r:id="rId5" w:fontKey="{4FEA2941-DBB2-7C49-93CC-BAAD0A98466C}"/>
    <w:embedBoldItalic r:id="rId6" w:fontKey="{73D94769-0F24-7743-ABEE-2FD04D4D4516}"/>
  </w:font>
  <w:font w:name="Calibri">
    <w:panose1 w:val="020F0502020204030204"/>
    <w:charset w:val="00"/>
    <w:family w:val="swiss"/>
    <w:pitch w:val="variable"/>
    <w:sig w:usb0="E4002EFF" w:usb1="C200247B" w:usb2="00000009" w:usb3="00000000" w:csb0="000001FF" w:csb1="00000000"/>
    <w:embedRegular r:id="rId7" w:fontKey="{114C57AC-BF16-D34C-B567-4EF837190726}"/>
  </w:font>
  <w:font w:name="Cambria">
    <w:panose1 w:val="02040503050406030204"/>
    <w:charset w:val="00"/>
    <w:family w:val="roman"/>
    <w:pitch w:val="variable"/>
    <w:sig w:usb0="E00006FF" w:usb1="420024FF" w:usb2="02000000" w:usb3="00000000" w:csb0="0000019F" w:csb1="00000000"/>
    <w:embedRegular r:id="rId8" w:fontKey="{0EC070B2-4942-BF4E-8DE6-95A87C427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B6D72" w14:textId="04B3C35E" w:rsidR="00CC0744" w:rsidRDefault="00000000">
    <w:pPr>
      <w:pBdr>
        <w:top w:val="nil"/>
        <w:left w:val="nil"/>
        <w:bottom w:val="nil"/>
        <w:right w:val="nil"/>
        <w:between w:val="nil"/>
      </w:pBdr>
      <w:tabs>
        <w:tab w:val="center" w:pos="4680"/>
        <w:tab w:val="right" w:pos="9360"/>
      </w:tabs>
      <w:rPr>
        <w:color w:val="808080"/>
        <w:sz w:val="18"/>
        <w:szCs w:val="18"/>
      </w:rPr>
    </w:pPr>
    <w:r>
      <w:rPr>
        <w:rFonts w:ascii="Arial" w:eastAsia="Arial" w:hAnsi="Arial" w:cs="Arial"/>
        <w:color w:val="808080"/>
        <w:sz w:val="18"/>
        <w:szCs w:val="18"/>
      </w:rPr>
      <w:t>Moving from No Benefits or CORE Benefits to Full Benefits</w:t>
    </w:r>
    <w:r>
      <w:rPr>
        <w:rFonts w:ascii="Arial" w:eastAsia="Arial" w:hAnsi="Arial" w:cs="Arial"/>
        <w:color w:val="808080"/>
        <w:sz w:val="18"/>
        <w:szCs w:val="18"/>
      </w:rPr>
      <w:tab/>
    </w:r>
    <w:r>
      <w:rPr>
        <w:rFonts w:ascii="Arial" w:eastAsia="Arial" w:hAnsi="Arial" w:cs="Arial"/>
        <w:color w:val="808080"/>
        <w:sz w:val="13"/>
        <w:szCs w:val="13"/>
      </w:rPr>
      <w:t>au2</w:t>
    </w:r>
    <w:r w:rsidR="00097D59">
      <w:rPr>
        <w:rFonts w:ascii="Arial" w:eastAsia="Arial" w:hAnsi="Arial" w:cs="Arial"/>
        <w:color w:val="808080"/>
        <w:sz w:val="13"/>
        <w:szCs w:val="13"/>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F4D18" w14:textId="77777777" w:rsidR="0066491D" w:rsidRDefault="0066491D">
      <w:pPr>
        <w:spacing w:after="0" w:line="240" w:lineRule="auto"/>
      </w:pPr>
      <w:r>
        <w:separator/>
      </w:r>
    </w:p>
  </w:footnote>
  <w:footnote w:type="continuationSeparator" w:id="0">
    <w:p w14:paraId="43FFFF87" w14:textId="77777777" w:rsidR="0066491D" w:rsidRDefault="006649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744"/>
    <w:rsid w:val="00097D59"/>
    <w:rsid w:val="00357125"/>
    <w:rsid w:val="0066491D"/>
    <w:rsid w:val="00766B70"/>
    <w:rsid w:val="009D71A8"/>
    <w:rsid w:val="00B94A15"/>
    <w:rsid w:val="00CC0744"/>
    <w:rsid w:val="00FB5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7B2571"/>
  <w15:docId w15:val="{DD8F2982-8ED5-774E-AE53-B98A5F29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line="240" w:lineRule="auto"/>
      <w:outlineLvl w:val="0"/>
    </w:pPr>
    <w:rPr>
      <w:rFonts w:ascii="Arial" w:eastAsia="Arial" w:hAnsi="Arial" w:cs="Arial"/>
      <w:b/>
      <w:bCs/>
      <w:sz w:val="20"/>
      <w:szCs w:val="20"/>
    </w:rPr>
  </w:style>
  <w:style w:type="paragraph" w:styleId="Heading2">
    <w:name w:val="heading 2"/>
    <w:basedOn w:val="Normal"/>
    <w:next w:val="Normal"/>
    <w:uiPriority w:val="9"/>
    <w:semiHidden/>
    <w:unhideWhenUsed/>
    <w:qFormat/>
    <w:pPr>
      <w:keepNext/>
      <w:keepLines/>
      <w:spacing w:before="200" w:after="120"/>
      <w:outlineLvl w:val="1"/>
    </w:pPr>
    <w:rPr>
      <w:rFonts w:ascii="Arial" w:eastAsia="Arial" w:hAnsi="Arial" w:cs="Arial"/>
      <w:b/>
      <w:bCs/>
      <w:color w:val="F1AB00"/>
      <w:sz w:val="24"/>
      <w:szCs w:val="24"/>
    </w:rPr>
  </w:style>
  <w:style w:type="paragraph" w:styleId="Heading3">
    <w:name w:val="heading 3"/>
    <w:basedOn w:val="Normal"/>
    <w:next w:val="Normal"/>
    <w:uiPriority w:val="9"/>
    <w:semiHidden/>
    <w:unhideWhenUsed/>
    <w:qFormat/>
    <w:pPr>
      <w:keepNext/>
      <w:keepLines/>
      <w:spacing w:after="240" w:line="240" w:lineRule="auto"/>
      <w:outlineLvl w:val="2"/>
    </w:pPr>
    <w:rPr>
      <w:rFonts w:ascii="Arial" w:eastAsia="Arial" w:hAnsi="Arial" w:cs="Arial"/>
      <w:b/>
      <w:bCs/>
      <w:color w:val="7A6E67"/>
    </w:rPr>
  </w:style>
  <w:style w:type="paragraph" w:styleId="Heading4">
    <w:name w:val="heading 4"/>
    <w:basedOn w:val="Normal"/>
    <w:next w:val="Normal"/>
    <w:uiPriority w:val="9"/>
    <w:semiHidden/>
    <w:unhideWhenUsed/>
    <w:qFormat/>
    <w:pPr>
      <w:keepNext/>
      <w:keepLines/>
      <w:spacing w:before="200" w:after="120"/>
      <w:outlineLvl w:val="3"/>
    </w:pPr>
    <w:rPr>
      <w:rFonts w:ascii="Arial" w:eastAsia="Arial" w:hAnsi="Arial" w:cs="Arial"/>
      <w:b/>
      <w:bCs/>
      <w:i/>
      <w:iCs/>
      <w:color w:val="7A6E6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7A6E67"/>
      </w:pBdr>
      <w:spacing w:after="120" w:line="240" w:lineRule="auto"/>
    </w:pPr>
    <w:rPr>
      <w:rFonts w:ascii="Arial" w:eastAsia="Arial" w:hAnsi="Arial" w:cs="Arial"/>
      <w:color w:val="21508F"/>
      <w:sz w:val="36"/>
      <w:szCs w:val="36"/>
    </w:rPr>
  </w:style>
  <w:style w:type="paragraph" w:styleId="Subtitle">
    <w:name w:val="Subtitle"/>
    <w:basedOn w:val="Normal"/>
    <w:next w:val="Normal"/>
    <w:uiPriority w:val="11"/>
    <w:qFormat/>
    <w:rPr>
      <w:rFonts w:ascii="Arial" w:eastAsia="Arial" w:hAnsi="Arial" w:cs="Arial"/>
      <w:i/>
      <w:iCs/>
      <w:color w:val="7A6E67"/>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97D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D59"/>
  </w:style>
  <w:style w:type="paragraph" w:styleId="Footer">
    <w:name w:val="footer"/>
    <w:basedOn w:val="Normal"/>
    <w:link w:val="FooterChar"/>
    <w:uiPriority w:val="99"/>
    <w:unhideWhenUsed/>
    <w:rsid w:val="00097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4</cp:revision>
  <dcterms:created xsi:type="dcterms:W3CDTF">2026-04-24T17:57:00Z</dcterms:created>
  <dcterms:modified xsi:type="dcterms:W3CDTF">2026-04-24T18:02:00Z</dcterms:modified>
</cp:coreProperties>
</file>